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b/>
          <w:color w:val="FF0000"/>
          <w:spacing w:val="-119"/>
          <w:kern w:val="36"/>
          <w:sz w:val="144"/>
          <w:szCs w:val="144"/>
        </w:rPr>
      </w:pPr>
      <w:r>
        <w:rPr>
          <w:rFonts w:hint="default" w:ascii="Times New Roman" w:hAnsi="Times New Roman" w:eastAsia="经典行楷简" w:cs="Times New Roman"/>
          <w:b/>
          <w:color w:val="1F497D"/>
          <w:spacing w:val="-119"/>
          <w:kern w:val="36"/>
          <w:sz w:val="144"/>
          <w:szCs w:val="144"/>
          <w14:textFill>
            <w14:solidFill>
              <w14:srgbClr w14:val="1F497D">
                <w14:lumMod w14:val="60000"/>
                <w14:lumOff w14:val="40000"/>
              </w14:srgbClr>
            </w14:solidFill>
          </w14:textFill>
        </w:rPr>
        <w:t>江苏贸促周讯</w:t>
      </w:r>
    </w:p>
    <w:p>
      <w:pPr>
        <w:keepNext w:val="0"/>
        <w:keepLines w:val="0"/>
        <w:pageBreakBefore w:val="0"/>
        <w:widowControl/>
        <w:kinsoku/>
        <w:wordWrap/>
        <w:overflowPunct/>
        <w:topLinePunct w:val="0"/>
        <w:autoSpaceDE/>
        <w:autoSpaceDN/>
        <w:bidi w:val="0"/>
        <w:adjustRightInd/>
        <w:snapToGrid/>
        <w:spacing w:line="460" w:lineRule="exact"/>
        <w:jc w:val="center"/>
        <w:textAlignment w:val="auto"/>
        <w:outlineLvl w:val="0"/>
        <w:rPr>
          <w:rFonts w:hint="default" w:ascii="Times New Roman" w:hAnsi="Times New Roman" w:eastAsia="经典行楷简" w:cs="Times New Roman"/>
          <w:b w:val="0"/>
          <w:bCs/>
          <w:color w:val="2E75B6" w:themeColor="accent1" w:themeShade="BF"/>
          <w:kern w:val="36"/>
          <w:sz w:val="44"/>
          <w:szCs w:val="44"/>
        </w:rPr>
      </w:pPr>
      <w:r>
        <w:rPr>
          <w:rFonts w:hint="default" w:ascii="Times New Roman" w:hAnsi="Times New Roman" w:eastAsia="经典行楷简" w:cs="Times New Roman"/>
          <w:b w:val="0"/>
          <w:bCs/>
          <w:color w:val="2E75B6" w:themeColor="accent1" w:themeShade="BF"/>
          <w:kern w:val="36"/>
          <w:sz w:val="44"/>
          <w:szCs w:val="44"/>
        </w:rPr>
        <w:t>202</w:t>
      </w:r>
      <w:r>
        <w:rPr>
          <w:rFonts w:hint="default" w:ascii="Times New Roman" w:hAnsi="Times New Roman" w:eastAsia="经典行楷简" w:cs="Times New Roman"/>
          <w:b w:val="0"/>
          <w:bCs/>
          <w:color w:val="2E75B6" w:themeColor="accent1" w:themeShade="BF"/>
          <w:kern w:val="36"/>
          <w:sz w:val="44"/>
          <w:szCs w:val="44"/>
          <w:lang w:val="en-US" w:eastAsia="zh-CN"/>
        </w:rPr>
        <w:t>4</w:t>
      </w:r>
      <w:r>
        <w:rPr>
          <w:rFonts w:hint="default" w:ascii="Times New Roman" w:hAnsi="Times New Roman" w:eastAsia="经典行楷简" w:cs="Times New Roman"/>
          <w:b w:val="0"/>
          <w:bCs/>
          <w:color w:val="2E75B6" w:themeColor="accent1" w:themeShade="BF"/>
          <w:kern w:val="36"/>
          <w:sz w:val="44"/>
          <w:szCs w:val="44"/>
        </w:rPr>
        <w:t>年第</w:t>
      </w:r>
      <w:r>
        <w:rPr>
          <w:rFonts w:hint="eastAsia" w:ascii="Times New Roman" w:hAnsi="Times New Roman" w:eastAsia="经典行楷简" w:cs="Times New Roman"/>
          <w:b w:val="0"/>
          <w:bCs/>
          <w:color w:val="2E75B6" w:themeColor="accent1" w:themeShade="BF"/>
          <w:kern w:val="36"/>
          <w:sz w:val="44"/>
          <w:szCs w:val="44"/>
          <w:lang w:val="en-US" w:eastAsia="zh-CN"/>
        </w:rPr>
        <w:t>34</w:t>
      </w:r>
      <w:r>
        <w:rPr>
          <w:rFonts w:hint="default" w:ascii="Times New Roman" w:hAnsi="Times New Roman" w:eastAsia="经典行楷简" w:cs="Times New Roman"/>
          <w:b w:val="0"/>
          <w:bCs/>
          <w:color w:val="2E75B6" w:themeColor="accent1" w:themeShade="BF"/>
          <w:kern w:val="36"/>
          <w:sz w:val="44"/>
          <w:szCs w:val="44"/>
        </w:rPr>
        <w:t>期</w:t>
      </w:r>
    </w:p>
    <w:p>
      <w:pPr>
        <w:keepNext w:val="0"/>
        <w:keepLines w:val="0"/>
        <w:pageBreakBefore w:val="0"/>
        <w:widowControl/>
        <w:kinsoku/>
        <w:wordWrap/>
        <w:overflowPunct/>
        <w:topLinePunct w:val="0"/>
        <w:autoSpaceDE/>
        <w:autoSpaceDN/>
        <w:bidi w:val="0"/>
        <w:adjustRightInd/>
        <w:snapToGrid/>
        <w:spacing w:line="460" w:lineRule="exact"/>
        <w:jc w:val="center"/>
        <w:textAlignment w:val="auto"/>
        <w:outlineLvl w:val="0"/>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scaled="0"/>
            </w14:gradFill>
          </w14:textFill>
        </w:rPr>
      </w:pPr>
      <w:r>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scaled="0"/>
            </w14:gradFill>
          </w14:textFill>
        </w:rPr>
        <w:t>（</w:t>
      </w:r>
      <w:r>
        <w:rPr>
          <w:rFonts w:hint="default" w:ascii="Times New Roman" w:hAnsi="Times New Roman" w:eastAsia="经典行楷简" w:cs="Times New Roman"/>
          <w:b w:val="0"/>
          <w:bCs/>
          <w:color w:val="2E75B5" w:themeColor="accent1" w:themeShade="BF"/>
          <w:kern w:val="36"/>
          <w:sz w:val="44"/>
          <w:szCs w:val="44"/>
          <w14:textFill>
            <w14:gradFill>
              <w14:gsLst>
                <w14:gs w14:pos="0">
                  <w14:srgbClr w14:val="FE4444"/>
                </w14:gs>
                <w14:gs w14:pos="100000">
                  <w14:srgbClr w14:val="832B2B"/>
                </w14:gs>
              </w14:gsLst>
              <w14:lin w14:scaled="0"/>
            </w14:gradFill>
          </w14:textFill>
        </w:rPr>
        <w:t>总第</w:t>
      </w:r>
      <w:r>
        <w:rPr>
          <w:rFonts w:hint="eastAsia" w:ascii="Times New Roman" w:hAnsi="Times New Roman" w:eastAsia="经典行楷简" w:cs="Times New Roman"/>
          <w:b w:val="0"/>
          <w:bCs/>
          <w:color w:val="2E75B5" w:themeColor="accent1" w:themeShade="BF"/>
          <w:kern w:val="36"/>
          <w:sz w:val="44"/>
          <w:szCs w:val="44"/>
          <w:lang w:val="en-US" w:eastAsia="zh-CN"/>
          <w14:textFill>
            <w14:gradFill>
              <w14:gsLst>
                <w14:gs w14:pos="0">
                  <w14:srgbClr w14:val="FE4444"/>
                </w14:gs>
                <w14:gs w14:pos="100000">
                  <w14:srgbClr w14:val="832B2B"/>
                </w14:gs>
              </w14:gsLst>
              <w14:lin w14:scaled="0"/>
            </w14:gradFill>
          </w14:textFill>
        </w:rPr>
        <w:t>280</w:t>
      </w:r>
      <w:r>
        <w:rPr>
          <w:rFonts w:hint="default" w:ascii="Times New Roman" w:hAnsi="Times New Roman" w:eastAsia="经典行楷简" w:cs="Times New Roman"/>
          <w:b w:val="0"/>
          <w:bCs/>
          <w:color w:val="2E75B5" w:themeColor="accent1" w:themeShade="BF"/>
          <w:kern w:val="36"/>
          <w:sz w:val="44"/>
          <w:szCs w:val="44"/>
          <w14:textFill>
            <w14:gradFill>
              <w14:gsLst>
                <w14:gs w14:pos="0">
                  <w14:srgbClr w14:val="FE4444"/>
                </w14:gs>
                <w14:gs w14:pos="100000">
                  <w14:srgbClr w14:val="832B2B"/>
                </w14:gs>
              </w14:gsLst>
              <w14:lin w14:scaled="0"/>
            </w14:gradFill>
          </w14:textFill>
        </w:rPr>
        <w:t>期</w:t>
      </w:r>
      <w:r>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scaled="0"/>
            </w14:gradFill>
          </w14:textFill>
        </w:rPr>
        <w:t>）</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28" w:firstLineChars="200"/>
        <w:jc w:val="both"/>
        <w:textAlignment w:val="auto"/>
        <w:outlineLvl w:val="1"/>
        <w:rPr>
          <w:rFonts w:hint="default" w:ascii="Times New Roman" w:hAnsi="Times New Roman" w:eastAsia="方正楷体_GBK" w:cs="Times New Roman"/>
          <w:b w:val="0"/>
          <w:bCs/>
          <w:color w:val="000000"/>
          <w:kern w:val="36"/>
          <w:sz w:val="36"/>
          <w:szCs w:val="36"/>
          <w:highlight w:val="none"/>
        </w:rPr>
      </w:pPr>
      <w:r>
        <w:rPr>
          <w:rFonts w:hint="default" w:ascii="Times New Roman" w:hAnsi="Times New Roman" w:eastAsia="方正黑体_GBK" w:cs="Times New Roman"/>
          <w:b w:val="0"/>
          <w:bCs/>
          <w:color w:val="1F497D"/>
          <w:kern w:val="36"/>
          <w:sz w:val="28"/>
          <w:szCs w:val="28"/>
          <w:highlight w:val="none"/>
          <w14:textFill>
            <w14:solidFill>
              <w14:srgbClr w14:val="1F497D">
                <w14:lumMod w14:val="60000"/>
                <w14:lumOff w14:val="40000"/>
              </w14:srgbClr>
            </w14:solidFill>
          </w14:textFill>
        </w:rPr>
        <w:t>江苏省贸促会发展研究部</w:t>
      </w:r>
      <w:r>
        <w:rPr>
          <w:rFonts w:hint="default" w:ascii="Times New Roman" w:hAnsi="Times New Roman" w:eastAsia="宋体" w:cs="Times New Roman"/>
          <w:b/>
          <w:color w:val="00B0F0"/>
          <w:kern w:val="36"/>
          <w:sz w:val="28"/>
          <w:szCs w:val="28"/>
          <w:highlight w:val="none"/>
        </w:rPr>
        <w:t xml:space="preserve"> </w:t>
      </w:r>
      <w:r>
        <w:rPr>
          <w:rFonts w:hint="default" w:ascii="Times New Roman" w:hAnsi="Times New Roman" w:eastAsia="宋体" w:cs="Times New Roman"/>
          <w:b/>
          <w:color w:val="000000"/>
          <w:kern w:val="36"/>
          <w:sz w:val="36"/>
          <w:szCs w:val="36"/>
          <w:highlight w:val="none"/>
        </w:rPr>
        <w:t xml:space="preserve">        </w:t>
      </w:r>
      <w:r>
        <w:rPr>
          <w:rFonts w:hint="default" w:ascii="Times New Roman" w:hAnsi="Times New Roman" w:eastAsia="方正楷体_GBK" w:cs="Times New Roman"/>
          <w:b w:val="0"/>
          <w:bCs/>
          <w:color w:val="000000"/>
          <w:kern w:val="36"/>
          <w:sz w:val="36"/>
          <w:szCs w:val="36"/>
          <w:highlight w:val="none"/>
        </w:rPr>
        <w:t xml:space="preserve"> </w:t>
      </w:r>
      <w:r>
        <w:rPr>
          <w:rFonts w:hint="default" w:ascii="Times New Roman" w:hAnsi="Times New Roman" w:eastAsia="方正楷体_GBK" w:cs="Times New Roman"/>
          <w:b w:val="0"/>
          <w:bCs/>
          <w:color w:val="000000"/>
          <w:kern w:val="36"/>
          <w:sz w:val="36"/>
          <w:szCs w:val="36"/>
          <w:highlight w:val="none"/>
          <w:lang w:val="en-US"/>
        </w:rPr>
        <w:t xml:space="preserve">     </w:t>
      </w:r>
      <w:r>
        <w:rPr>
          <w:rFonts w:hint="default" w:ascii="Times New Roman" w:hAnsi="Times New Roman" w:eastAsia="方正楷体_GBK" w:cs="Times New Roman"/>
          <w:b w:val="0"/>
          <w:bCs/>
          <w:color w:val="000000"/>
          <w:kern w:val="36"/>
          <w:sz w:val="32"/>
          <w:szCs w:val="32"/>
          <w:highlight w:val="none"/>
          <w:lang w:val="en-US"/>
        </w:rPr>
        <w:t xml:space="preserve"> </w:t>
      </w:r>
      <w:r>
        <w:rPr>
          <w:rFonts w:hint="default" w:ascii="Times New Roman" w:hAnsi="Times New Roman" w:eastAsia="方正楷体_GBK" w:cs="Times New Roman"/>
          <w:b w:val="0"/>
          <w:bCs/>
          <w:color w:val="000000"/>
          <w:kern w:val="36"/>
          <w:sz w:val="32"/>
          <w:szCs w:val="32"/>
          <w:highlight w:val="none"/>
        </w:rPr>
        <w:t>202</w:t>
      </w:r>
      <w:r>
        <w:rPr>
          <w:rFonts w:hint="default" w:ascii="Times New Roman" w:hAnsi="Times New Roman" w:eastAsia="方正楷体_GBK" w:cs="Times New Roman"/>
          <w:b w:val="0"/>
          <w:bCs/>
          <w:color w:val="000000"/>
          <w:kern w:val="36"/>
          <w:sz w:val="32"/>
          <w:szCs w:val="32"/>
          <w:highlight w:val="none"/>
          <w:lang w:val="en-US" w:eastAsia="zh-CN"/>
        </w:rPr>
        <w:t>4</w:t>
      </w:r>
      <w:r>
        <w:rPr>
          <w:rFonts w:hint="default" w:ascii="Times New Roman" w:hAnsi="Times New Roman" w:eastAsia="方正楷体_GBK" w:cs="Times New Roman"/>
          <w:b w:val="0"/>
          <w:bCs/>
          <w:color w:val="000000"/>
          <w:kern w:val="36"/>
          <w:sz w:val="32"/>
          <w:szCs w:val="32"/>
          <w:highlight w:val="none"/>
        </w:rPr>
        <w:t>年</w:t>
      </w:r>
      <w:r>
        <w:rPr>
          <w:rFonts w:hint="eastAsia" w:ascii="Times New Roman" w:hAnsi="Times New Roman" w:eastAsia="方正楷体_GBK" w:cs="Times New Roman"/>
          <w:b w:val="0"/>
          <w:bCs/>
          <w:color w:val="000000"/>
          <w:kern w:val="36"/>
          <w:sz w:val="32"/>
          <w:szCs w:val="32"/>
          <w:highlight w:val="none"/>
          <w:lang w:val="en-US" w:eastAsia="zh-CN"/>
        </w:rPr>
        <w:t>8</w:t>
      </w:r>
      <w:r>
        <w:rPr>
          <w:rFonts w:hint="default" w:ascii="Times New Roman" w:hAnsi="Times New Roman" w:eastAsia="方正楷体_GBK" w:cs="Times New Roman"/>
          <w:b w:val="0"/>
          <w:bCs/>
          <w:color w:val="000000"/>
          <w:kern w:val="36"/>
          <w:sz w:val="32"/>
          <w:szCs w:val="32"/>
          <w:highlight w:val="none"/>
        </w:rPr>
        <w:t>月</w:t>
      </w:r>
      <w:r>
        <w:rPr>
          <w:rFonts w:hint="eastAsia" w:ascii="Times New Roman" w:hAnsi="Times New Roman" w:eastAsia="方正楷体_GBK" w:cs="Times New Roman"/>
          <w:b w:val="0"/>
          <w:bCs/>
          <w:color w:val="000000"/>
          <w:kern w:val="36"/>
          <w:sz w:val="32"/>
          <w:szCs w:val="32"/>
          <w:highlight w:val="none"/>
          <w:lang w:val="en-US" w:eastAsia="zh-CN"/>
        </w:rPr>
        <w:t>26</w:t>
      </w:r>
      <w:r>
        <w:rPr>
          <w:rFonts w:hint="default" w:ascii="Times New Roman" w:hAnsi="Times New Roman" w:eastAsia="方正楷体_GBK" w:cs="Times New Roman"/>
          <w:b w:val="0"/>
          <w:bCs/>
          <w:color w:val="000000"/>
          <w:kern w:val="36"/>
          <w:sz w:val="32"/>
          <w:szCs w:val="32"/>
          <w:highlight w:val="none"/>
        </w:rPr>
        <w:t>日</w:t>
      </w:r>
    </w:p>
    <w:p>
      <w:pPr>
        <w:keepNext w:val="0"/>
        <w:keepLines w:val="0"/>
        <w:pageBreakBefore w:val="0"/>
        <w:widowControl/>
        <w:shd w:val="clear" w:color="auto" w:fill="FFFFFF"/>
        <w:kinsoku/>
        <w:wordWrap/>
        <w:overflowPunct/>
        <w:topLinePunct w:val="0"/>
        <w:autoSpaceDE/>
        <w:autoSpaceDN/>
        <w:bidi w:val="0"/>
        <w:adjustRightInd/>
        <w:snapToGrid/>
        <w:spacing w:before="435" w:beforeLines="150" w:after="210" w:line="240" w:lineRule="auto"/>
        <w:ind w:firstLine="424" w:firstLineChars="100"/>
        <w:jc w:val="both"/>
        <w:textAlignment w:val="auto"/>
        <w:outlineLvl w:val="1"/>
        <w:rPr>
          <w:rFonts w:hint="default" w:ascii="Times New Roman" w:hAnsi="Times New Roman" w:eastAsia="方正黑体_GBK" w:cs="Times New Roman"/>
          <w:b w:val="0"/>
          <w:bCs/>
          <w:color w:val="000000"/>
          <w:kern w:val="36"/>
          <w:sz w:val="44"/>
          <w:szCs w:val="44"/>
          <w:lang w:val="en-US" w:eastAsia="zh-CN"/>
        </w:rPr>
      </w:pPr>
      <w:r>
        <w:rPr>
          <w:rFonts w:hint="default" w:ascii="Times New Roman" w:hAnsi="Times New Roman" w:eastAsia="方正黑体_GBK" w:cs="Times New Roman"/>
          <w:b w:val="0"/>
          <w:bCs/>
          <w:color w:val="000000"/>
          <w:kern w:val="36"/>
          <w:sz w:val="44"/>
          <w:szCs w:val="44"/>
        </w:rPr>
        <w:t>目录</w:t>
      </w:r>
      <w:r>
        <w:rPr>
          <w:rFonts w:hint="default" w:ascii="Times New Roman" w:hAnsi="Times New Roman" w:eastAsia="方正黑体_GBK" w:cs="Times New Roman"/>
          <w:b w:val="0"/>
          <w:bCs/>
          <w:color w:val="000000"/>
          <w:kern w:val="36"/>
          <w:sz w:val="28"/>
          <w:szCs w:val="28"/>
          <w:lang w:val="en-US"/>
        </w:rPr>
        <w:t>CONTENTS</w:t>
      </w:r>
      <w:r>
        <w:rPr>
          <w:rFonts w:hint="default" w:ascii="Times New Roman" w:hAnsi="Times New Roman" w:eastAsia="方正黑体_GBK" w:cs="Times New Roman"/>
          <w:b w:val="0"/>
          <w:bCs/>
          <w:color w:val="000000"/>
          <w:kern w:val="36"/>
          <w:sz w:val="32"/>
          <w:szCs w:val="32"/>
          <w:lang w:val="en-US"/>
        </w:rPr>
        <w:t xml:space="preserve">  </w:t>
      </w:r>
      <w:r>
        <w:rPr>
          <w:rFonts w:hint="default" w:ascii="Times New Roman" w:hAnsi="Times New Roman" w:eastAsia="方正黑体_GBK" w:cs="Times New Roman"/>
          <w:b w:val="0"/>
          <w:bCs/>
          <w:color w:val="000000"/>
          <w:kern w:val="36"/>
          <w:sz w:val="24"/>
          <w:szCs w:val="24"/>
          <w:lang w:val="en-US" w:eastAsia="zh-CN"/>
        </w:rPr>
        <w:t>——————————————内部资料 免费赠阅</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28" w:firstLineChars="200"/>
        <w:contextualSpacing/>
        <w:jc w:val="left"/>
        <w:textAlignment w:val="auto"/>
        <w:outlineLvl w:val="1"/>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28" w:firstLineChars="200"/>
        <w:contextualSpacing/>
        <w:jc w:val="left"/>
        <w:textAlignment w:val="auto"/>
        <w:outlineLvl w:val="1"/>
        <w:rPr>
          <w:rFonts w:hint="default" w:ascii="Times New Roman" w:hAnsi="Times New Roman" w:eastAsia="宋体" w:cs="Times New Roman"/>
          <w:b/>
          <w:color w:val="FF0000"/>
          <w:kern w:val="36"/>
          <w:sz w:val="24"/>
          <w:szCs w:val="24"/>
          <w:lang w:val="en-US" w:eastAsia="zh-CN"/>
        </w:rPr>
      </w:pPr>
      <w:r>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t xml:space="preserve">• </w:t>
      </w: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全球</w:t>
      </w:r>
      <w:r>
        <w:rPr>
          <w:rFonts w:hint="eastAsia"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经贸分析</w:t>
      </w: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 xml:space="preserve"> </w:t>
      </w:r>
      <w:r>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t>•</w:t>
      </w:r>
      <w:r>
        <w:rPr>
          <w:rFonts w:hint="default" w:ascii="Times New Roman" w:hAnsi="Times New Roman" w:eastAsia="宋体" w:cs="Times New Roman"/>
          <w:b/>
          <w:color w:val="00B0F0"/>
          <w:kern w:val="36"/>
          <w:sz w:val="36"/>
          <w:szCs w:val="36"/>
          <w:lang w:val="en-US" w:eastAsia="zh-CN"/>
        </w:rPr>
        <w:t xml:space="preserve"> </w:t>
      </w:r>
      <w:r>
        <w:rPr>
          <w:rFonts w:hint="default" w:ascii="Times New Roman" w:hAnsi="Times New Roman" w:eastAsia="宋体" w:cs="Times New Roman"/>
          <w:b/>
          <w:color w:val="FF0000"/>
          <w:kern w:val="36"/>
          <w:sz w:val="24"/>
          <w:szCs w:val="24"/>
          <w:lang w:val="en-US" w:eastAsia="zh-CN"/>
        </w:rPr>
        <w:t>‧‧‧‧‧‧‧‧‧‧‧‧‧‧‧‧‧‧‧‧‧‧‧‧‧‧‧‧‧‧‧‧‧‧‧‧‧‧‧‧‧‧‧‧‧‧‧‧‧‧‧‧‧‧‧‧‧‧‧‧‧‧‧‧‧‧‧‧‧‧‧‧‧‧‧‧‧‧‧‧‧‧‧‧‧‧‧‧‧‧‧‧‧‧‧‧‧‧‧‧‧‧‧</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524" w:firstLineChars="200"/>
        <w:jc w:val="left"/>
        <w:textAlignment w:val="auto"/>
        <w:rPr>
          <w:rFonts w:hint="default" w:ascii="Times New Roman" w:hAnsi="Times New Roman" w:eastAsia="方正楷体_GBK" w:cs="Times New Roman"/>
          <w:b/>
          <w:bCs w:val="0"/>
          <w:color w:val="auto"/>
          <w:spacing w:val="0"/>
          <w:kern w:val="36"/>
          <w:sz w:val="30"/>
          <w:szCs w:val="30"/>
          <w:lang w:val="en-US" w:eastAsia="zh-CN"/>
        </w:rPr>
      </w:pPr>
      <w:r>
        <w:rPr>
          <w:rFonts w:hint="default" w:ascii="Times New Roman" w:hAnsi="Times New Roman" w:eastAsia="方正楷体_GBK" w:cs="Times New Roman"/>
          <w:b/>
          <w:bCs w:val="0"/>
          <w:color w:val="auto"/>
          <w:spacing w:val="-11"/>
          <w:kern w:val="36"/>
          <w:sz w:val="30"/>
          <w:szCs w:val="30"/>
          <w:lang w:val="en-US" w:eastAsia="zh-CN"/>
        </w:rPr>
        <w:t>8月19日（周一）迁往新首都——看印尼的发展潜力和市场机遇</w:t>
      </w:r>
      <w:r>
        <w:rPr>
          <w:rFonts w:hint="eastAsia" w:ascii="Times New Roman" w:hAnsi="Times New Roman" w:eastAsia="方正楷体_GBK" w:cs="Times New Roman"/>
          <w:b/>
          <w:bCs w:val="0"/>
          <w:color w:val="auto"/>
          <w:spacing w:val="-20"/>
          <w:kern w:val="36"/>
          <w:sz w:val="30"/>
          <w:szCs w:val="30"/>
          <w:lang w:val="en-US" w:eastAsia="zh-CN"/>
        </w:rPr>
        <w:t xml:space="preserve"> / 01</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left="550" w:leftChars="284" w:firstLine="0" w:firstLineChars="0"/>
        <w:jc w:val="left"/>
        <w:textAlignment w:val="auto"/>
        <w:rPr>
          <w:rFonts w:hint="default" w:ascii="Times New Roman" w:hAnsi="Times New Roman" w:eastAsia="方正楷体_GBK" w:cs="Times New Roman"/>
          <w:b/>
          <w:bCs w:val="0"/>
          <w:color w:val="auto"/>
          <w:spacing w:val="-6"/>
          <w:kern w:val="36"/>
          <w:sz w:val="30"/>
          <w:szCs w:val="30"/>
          <w:lang w:val="en-US" w:eastAsia="zh-CN"/>
        </w:rPr>
      </w:pPr>
      <w:r>
        <w:rPr>
          <w:rFonts w:hint="default" w:ascii="Times New Roman" w:hAnsi="Times New Roman" w:eastAsia="方正楷体_GBK" w:cs="Times New Roman"/>
          <w:b/>
          <w:bCs w:val="0"/>
          <w:color w:val="auto"/>
          <w:spacing w:val="0"/>
          <w:kern w:val="36"/>
          <w:sz w:val="30"/>
          <w:szCs w:val="30"/>
          <w:lang w:val="en-US" w:eastAsia="zh-CN"/>
        </w:rPr>
        <w:t>8月20日（周二）</w:t>
      </w:r>
      <w:r>
        <w:rPr>
          <w:rFonts w:hint="default" w:ascii="Times New Roman" w:hAnsi="Times New Roman" w:eastAsia="方正楷体_GBK" w:cs="Times New Roman"/>
          <w:b/>
          <w:bCs w:val="0"/>
          <w:color w:val="auto"/>
          <w:spacing w:val="-6"/>
          <w:kern w:val="36"/>
          <w:sz w:val="30"/>
          <w:szCs w:val="30"/>
          <w:lang w:val="en-US" w:eastAsia="zh-CN"/>
        </w:rPr>
        <w:t>海平面上升和海水侵蚀，“电沉积”和产业机遇</w:t>
      </w:r>
      <w:r>
        <w:rPr>
          <w:rFonts w:hint="eastAsia" w:ascii="Times New Roman" w:hAnsi="Times New Roman" w:eastAsia="方正楷体_GBK" w:cs="Times New Roman"/>
          <w:b/>
          <w:bCs w:val="0"/>
          <w:color w:val="auto"/>
          <w:spacing w:val="-6"/>
          <w:kern w:val="36"/>
          <w:sz w:val="30"/>
          <w:szCs w:val="30"/>
          <w:lang w:val="en-US" w:eastAsia="zh-CN"/>
        </w:rPr>
        <w:t xml:space="preserve"> / 06</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left="550" w:leftChars="284" w:firstLine="0" w:firstLineChars="0"/>
        <w:jc w:val="left"/>
        <w:textAlignment w:val="auto"/>
        <w:rPr>
          <w:rFonts w:hint="default" w:ascii="Times New Roman" w:hAnsi="Times New Roman" w:eastAsia="方正楷体_GBK" w:cs="Times New Roman"/>
          <w:b/>
          <w:bCs w:val="0"/>
          <w:color w:val="auto"/>
          <w:spacing w:val="-11"/>
          <w:kern w:val="36"/>
          <w:sz w:val="30"/>
          <w:szCs w:val="30"/>
          <w:lang w:val="en-US" w:eastAsia="zh-CN"/>
        </w:rPr>
      </w:pPr>
      <w:r>
        <w:rPr>
          <w:rFonts w:hint="default" w:ascii="Times New Roman" w:hAnsi="Times New Roman" w:eastAsia="方正楷体_GBK" w:cs="Times New Roman"/>
          <w:b/>
          <w:bCs w:val="0"/>
          <w:color w:val="auto"/>
          <w:spacing w:val="0"/>
          <w:kern w:val="36"/>
          <w:sz w:val="30"/>
          <w:szCs w:val="30"/>
          <w:lang w:val="en-US" w:eastAsia="zh-CN"/>
        </w:rPr>
        <w:t>8月22日（周四）“在压路机轮子前面捡钱？”——套利交易规模成谜</w:t>
      </w:r>
      <w:r>
        <w:rPr>
          <w:rFonts w:hint="eastAsia" w:ascii="Times New Roman" w:hAnsi="Times New Roman" w:eastAsia="方正楷体_GBK" w:cs="Times New Roman"/>
          <w:b/>
          <w:bCs w:val="0"/>
          <w:color w:val="auto"/>
          <w:spacing w:val="-11"/>
          <w:kern w:val="36"/>
          <w:sz w:val="30"/>
          <w:szCs w:val="30"/>
          <w:lang w:val="en-US" w:eastAsia="zh-CN"/>
        </w:rPr>
        <w:t xml:space="preserve"> / 08</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left="550" w:leftChars="284" w:firstLine="0" w:firstLineChars="0"/>
        <w:jc w:val="left"/>
        <w:textAlignment w:val="auto"/>
        <w:rPr>
          <w:rFonts w:hint="default" w:ascii="Times New Roman" w:hAnsi="Times New Roman" w:eastAsia="方正楷体_GBK" w:cs="Times New Roman"/>
          <w:b/>
          <w:bCs w:val="0"/>
          <w:color w:val="auto"/>
          <w:spacing w:val="-11"/>
          <w:kern w:val="36"/>
          <w:sz w:val="30"/>
          <w:szCs w:val="30"/>
          <w:lang w:val="en-US" w:eastAsia="zh-CN"/>
        </w:rPr>
      </w:pPr>
      <w:r>
        <w:rPr>
          <w:rFonts w:hint="eastAsia" w:ascii="Times New Roman" w:hAnsi="Times New Roman" w:eastAsia="方正楷体_GBK" w:cs="Times New Roman"/>
          <w:b/>
          <w:bCs w:val="0"/>
          <w:color w:val="auto"/>
          <w:spacing w:val="-11"/>
          <w:kern w:val="36"/>
          <w:sz w:val="30"/>
          <w:szCs w:val="30"/>
          <w:lang w:val="en-US" w:eastAsia="zh-CN"/>
        </w:rPr>
        <w:t>8月23日（周五）杰克逊霍尔年会，鲍威尔暗示降息 / 12</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left="550" w:leftChars="284" w:firstLine="0" w:firstLineChars="0"/>
        <w:jc w:val="left"/>
        <w:textAlignment w:val="auto"/>
        <w:rPr>
          <w:rFonts w:hint="default" w:ascii="Times New Roman" w:hAnsi="Times New Roman" w:eastAsia="方正楷体_GBK" w:cs="Times New Roman"/>
          <w:b/>
          <w:bCs w:val="0"/>
          <w:color w:val="auto"/>
          <w:spacing w:val="-11"/>
          <w:kern w:val="36"/>
          <w:sz w:val="30"/>
          <w:szCs w:val="30"/>
          <w:lang w:val="en-US" w:eastAsia="zh-CN"/>
        </w:rPr>
      </w:pPr>
      <w:r>
        <w:rPr>
          <w:rFonts w:hint="eastAsia" w:ascii="Times New Roman" w:hAnsi="Times New Roman" w:eastAsia="方正楷体_GBK" w:cs="Times New Roman"/>
          <w:b/>
          <w:bCs w:val="0"/>
          <w:color w:val="auto"/>
          <w:spacing w:val="-11"/>
          <w:kern w:val="36"/>
          <w:sz w:val="30"/>
          <w:szCs w:val="30"/>
          <w:lang w:val="en-US" w:eastAsia="zh-CN"/>
        </w:rPr>
        <w:t>8月24日（周六）欧盟经济面临的挑战，欧洲股市的定价与走势 / 17</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left="550" w:leftChars="284" w:firstLine="0" w:firstLineChars="0"/>
        <w:jc w:val="left"/>
        <w:textAlignment w:val="auto"/>
        <w:rPr>
          <w:rFonts w:hint="default" w:ascii="Times New Roman" w:hAnsi="Times New Roman" w:eastAsia="方正楷体_GBK" w:cs="Times New Roman"/>
          <w:b/>
          <w:bCs w:val="0"/>
          <w:color w:val="auto"/>
          <w:spacing w:val="-11"/>
          <w:kern w:val="36"/>
          <w:sz w:val="30"/>
          <w:szCs w:val="30"/>
          <w:lang w:val="en-US" w:eastAsia="zh-CN"/>
        </w:rPr>
      </w:pPr>
      <w:r>
        <w:rPr>
          <w:rFonts w:hint="eastAsia" w:ascii="Times New Roman" w:hAnsi="Times New Roman" w:eastAsia="方正楷体_GBK" w:cs="Times New Roman"/>
          <w:b/>
          <w:bCs w:val="0"/>
          <w:color w:val="auto"/>
          <w:spacing w:val="-11"/>
          <w:kern w:val="36"/>
          <w:sz w:val="30"/>
          <w:szCs w:val="30"/>
          <w:lang w:val="en-US" w:eastAsia="zh-CN"/>
        </w:rPr>
        <w:t>8月25日（周日）气候、经济和音乐，“火人节”遇冷 / 23</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544" w:firstLineChars="200"/>
        <w:jc w:val="left"/>
        <w:textAlignment w:val="auto"/>
        <w:rPr>
          <w:rFonts w:hint="default" w:ascii="Times New Roman" w:hAnsi="Times New Roman" w:eastAsia="方正楷体_GBK" w:cs="Times New Roman"/>
          <w:b/>
          <w:bCs w:val="0"/>
          <w:color w:val="auto"/>
          <w:spacing w:val="-6"/>
          <w:kern w:val="36"/>
          <w:sz w:val="30"/>
          <w:szCs w:val="30"/>
          <w:lang w:val="en-US" w:eastAsia="zh-CN"/>
        </w:rPr>
      </w:pP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544" w:firstLineChars="200"/>
        <w:jc w:val="left"/>
        <w:textAlignment w:val="auto"/>
        <w:rPr>
          <w:rFonts w:hint="default" w:ascii="Times New Roman" w:hAnsi="Times New Roman" w:eastAsia="方正楷体_GBK" w:cs="Times New Roman"/>
          <w:b/>
          <w:bCs w:val="0"/>
          <w:color w:val="auto"/>
          <w:spacing w:val="-6"/>
          <w:kern w:val="36"/>
          <w:sz w:val="30"/>
          <w:szCs w:val="30"/>
          <w:lang w:val="en-US" w:eastAsia="zh-CN"/>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28" w:firstLineChars="200"/>
        <w:contextualSpacing/>
        <w:jc w:val="left"/>
        <w:textAlignment w:val="auto"/>
        <w:outlineLvl w:val="1"/>
        <w:rPr>
          <w:rFonts w:hint="default" w:ascii="Times New Roman" w:hAnsi="Times New Roman" w:eastAsia="方正黑体_GBK" w:cs="Times New Roman"/>
          <w:b/>
          <w:color w:val="FFC000"/>
          <w:kern w:val="36"/>
          <w:sz w:val="28"/>
          <w:szCs w:val="28"/>
          <w:lang w:val="en-US" w:eastAsia="zh-CN"/>
        </w:rPr>
      </w:pPr>
      <w:r>
        <w:rPr>
          <w:rFonts w:hint="default" w:ascii="Times New Roman" w:hAnsi="Times New Roman" w:eastAsia="方正黑体_GBK" w:cs="Times New Roman"/>
          <w:b/>
          <w:color w:val="1F497D"/>
          <w:kern w:val="36"/>
          <w:sz w:val="28"/>
          <w:szCs w:val="28"/>
          <w:lang w:val="en-US" w:eastAsia="zh-CN"/>
          <w14:textFill>
            <w14:solidFill>
              <w14:srgbClr w14:val="1F497D">
                <w14:lumMod w14:val="60000"/>
                <w14:lumOff w14:val="40000"/>
              </w14:srgbClr>
            </w14:solidFill>
          </w14:textFill>
        </w:rPr>
        <w:t xml:space="preserve">• </w:t>
      </w: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江苏贸促动态</w:t>
      </w:r>
      <w:r>
        <w:rPr>
          <w:rFonts w:hint="default" w:ascii="Times New Roman" w:hAnsi="Times New Roman" w:eastAsia="方正黑体_GBK" w:cs="Times New Roman"/>
          <w:b/>
          <w:color w:val="1F497D"/>
          <w:kern w:val="36"/>
          <w:sz w:val="28"/>
          <w:szCs w:val="28"/>
          <w:lang w:val="en-US" w:eastAsia="zh-CN"/>
          <w14:textFill>
            <w14:solidFill>
              <w14:srgbClr w14:val="1F497D">
                <w14:lumMod w14:val="60000"/>
                <w14:lumOff w14:val="40000"/>
              </w14:srgbClr>
            </w14:solidFill>
          </w14:textFill>
        </w:rPr>
        <w:t xml:space="preserve"> •</w:t>
      </w:r>
      <w:r>
        <w:rPr>
          <w:rFonts w:hint="default" w:ascii="Times New Roman" w:hAnsi="Times New Roman" w:eastAsia="方正黑体_GBK" w:cs="Times New Roman"/>
          <w:b/>
          <w:color w:val="00B0F0"/>
          <w:kern w:val="36"/>
          <w:sz w:val="28"/>
          <w:szCs w:val="28"/>
          <w:lang w:val="en-US" w:eastAsia="zh-CN"/>
        </w:rPr>
        <w:t xml:space="preserve"> </w:t>
      </w:r>
      <w:r>
        <w:rPr>
          <w:rFonts w:hint="default" w:ascii="Times New Roman" w:hAnsi="Times New Roman" w:eastAsia="宋体" w:cs="Times New Roman"/>
          <w:b/>
          <w:color w:val="FF0000"/>
          <w:kern w:val="36"/>
          <w:sz w:val="24"/>
          <w:szCs w:val="24"/>
          <w:lang w:val="en-US" w:eastAsia="zh-CN"/>
        </w:rPr>
        <w:t>‧‧‧‧‧‧‧‧‧‧‧‧‧‧‧‧‧‧‧‧‧‧‧‧‧‧‧‧‧‧‧‧‧‧‧‧‧‧‧‧‧‧‧‧‧‧‧‧‧‧‧‧‧‧‧‧‧‧‧‧‧‧‧‧‧‧‧‧‧‧‧‧‧‧‧‧‧‧‧‧‧‧‧‧‧‧‧‧‧‧‧‧‧‧‧‧‧‧‧‧‧‧‧</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68" w:firstLineChars="200"/>
        <w:contextualSpacing/>
        <w:jc w:val="left"/>
        <w:textAlignment w:val="auto"/>
        <w:outlineLvl w:val="1"/>
        <w:rPr>
          <w:rFonts w:hint="default" w:ascii="方正楷体_GBK" w:hAnsi="方正楷体_GBK" w:eastAsia="方正楷体_GBK" w:cs="方正楷体_GBK"/>
          <w:b/>
          <w:color w:val="auto"/>
          <w:kern w:val="36"/>
          <w:sz w:val="30"/>
          <w:szCs w:val="30"/>
          <w:lang w:val="en-US" w:eastAsia="zh-CN"/>
        </w:rPr>
      </w:pPr>
      <w:r>
        <w:rPr>
          <w:rFonts w:hint="eastAsia" w:ascii="方正楷体_GBK" w:hAnsi="方正楷体_GBK" w:eastAsia="方正楷体_GBK" w:cs="方正楷体_GBK"/>
          <w:b/>
          <w:color w:val="auto"/>
          <w:kern w:val="36"/>
          <w:sz w:val="30"/>
          <w:szCs w:val="30"/>
          <w:lang w:val="en-US" w:eastAsia="zh-CN"/>
        </w:rPr>
        <w:t xml:space="preserve">中国贸促会党组书记、会长任鸿斌来苏调研 / </w:t>
      </w:r>
      <w:r>
        <w:rPr>
          <w:rFonts w:hint="default" w:ascii="Times New Roman" w:hAnsi="Times New Roman" w:eastAsia="方正楷体_GBK" w:cs="Times New Roman"/>
          <w:b/>
          <w:bCs w:val="0"/>
          <w:color w:val="auto"/>
          <w:kern w:val="36"/>
          <w:sz w:val="30"/>
          <w:szCs w:val="30"/>
          <w:lang w:val="en-US" w:eastAsia="zh-CN"/>
        </w:rPr>
        <w:t>28</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68" w:firstLineChars="200"/>
        <w:contextualSpacing/>
        <w:jc w:val="left"/>
        <w:textAlignment w:val="auto"/>
        <w:outlineLvl w:val="1"/>
        <w:rPr>
          <w:rFonts w:hint="eastAsia" w:ascii="方正楷体_GBK" w:hAnsi="方正楷体_GBK" w:eastAsia="方正楷体_GBK" w:cs="方正楷体_GBK"/>
          <w:b/>
          <w:color w:val="auto"/>
          <w:kern w:val="36"/>
          <w:sz w:val="30"/>
          <w:szCs w:val="30"/>
          <w:lang w:val="en-US" w:eastAsia="zh-CN"/>
        </w:rPr>
      </w:pPr>
      <w:r>
        <w:rPr>
          <w:rFonts w:hint="default" w:ascii="方正楷体_GBK" w:hAnsi="方正楷体_GBK" w:eastAsia="方正楷体_GBK" w:cs="方正楷体_GBK"/>
          <w:b/>
          <w:color w:val="auto"/>
          <w:spacing w:val="0"/>
          <w:kern w:val="36"/>
          <w:sz w:val="30"/>
          <w:szCs w:val="30"/>
          <w:lang w:val="en-US" w:eastAsia="zh-CN"/>
        </w:rPr>
        <w:t>省贸促会领导会见汇鸿中天董事长包振兴一行</w:t>
      </w:r>
      <w:r>
        <w:rPr>
          <w:rFonts w:hint="eastAsia" w:ascii="方正楷体_GBK" w:hAnsi="方正楷体_GBK" w:eastAsia="方正楷体_GBK" w:cs="方正楷体_GBK"/>
          <w:b/>
          <w:color w:val="auto"/>
          <w:kern w:val="36"/>
          <w:sz w:val="30"/>
          <w:szCs w:val="30"/>
          <w:lang w:val="en-US" w:eastAsia="zh-CN"/>
        </w:rPr>
        <w:t xml:space="preserve"> </w:t>
      </w:r>
      <w:r>
        <w:rPr>
          <w:rFonts w:hint="default" w:ascii="Times New Roman" w:hAnsi="Times New Roman" w:eastAsia="方正楷体_GBK" w:cs="Times New Roman"/>
          <w:b/>
          <w:color w:val="auto"/>
          <w:kern w:val="36"/>
          <w:sz w:val="30"/>
          <w:szCs w:val="30"/>
          <w:lang w:val="en-US" w:eastAsia="zh-CN"/>
        </w:rPr>
        <w:t>/ 29</w:t>
      </w:r>
      <w:r>
        <w:rPr>
          <w:rFonts w:hint="eastAsia" w:ascii="方正楷体_GBK" w:hAnsi="方正楷体_GBK" w:eastAsia="方正楷体_GBK" w:cs="方正楷体_GBK"/>
          <w:b/>
          <w:color w:val="auto"/>
          <w:kern w:val="36"/>
          <w:sz w:val="30"/>
          <w:szCs w:val="30"/>
          <w:lang w:val="en-US" w:eastAsia="zh-CN"/>
        </w:rPr>
        <w:t xml:space="preserve"> </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68" w:firstLineChars="200"/>
        <w:contextualSpacing/>
        <w:jc w:val="left"/>
        <w:textAlignment w:val="auto"/>
        <w:outlineLvl w:val="1"/>
        <w:rPr>
          <w:rFonts w:hint="default" w:ascii="方正楷体_GBK" w:hAnsi="方正楷体_GBK" w:eastAsia="方正楷体_GBK" w:cs="方正楷体_GBK"/>
          <w:b/>
          <w:color w:val="auto"/>
          <w:kern w:val="36"/>
          <w:sz w:val="30"/>
          <w:szCs w:val="30"/>
          <w:lang w:val="en-US" w:eastAsia="zh-CN"/>
        </w:rPr>
      </w:pPr>
      <w:r>
        <w:rPr>
          <w:rFonts w:hint="default" w:ascii="方正楷体_GBK" w:hAnsi="方正楷体_GBK" w:eastAsia="方正楷体_GBK" w:cs="方正楷体_GBK"/>
          <w:b/>
          <w:color w:val="auto"/>
          <w:spacing w:val="0"/>
          <w:kern w:val="36"/>
          <w:sz w:val="30"/>
          <w:szCs w:val="30"/>
          <w:lang w:val="en-US" w:eastAsia="zh-CN"/>
        </w:rPr>
        <w:t>南京贸促会组织ATA单证册培训进企业</w:t>
      </w:r>
      <w:r>
        <w:rPr>
          <w:rFonts w:hint="eastAsia" w:ascii="方正楷体_GBK" w:hAnsi="方正楷体_GBK" w:eastAsia="方正楷体_GBK" w:cs="方正楷体_GBK"/>
          <w:b/>
          <w:color w:val="auto"/>
          <w:kern w:val="36"/>
          <w:sz w:val="30"/>
          <w:szCs w:val="30"/>
          <w:lang w:val="en-US" w:eastAsia="zh-CN"/>
        </w:rPr>
        <w:t xml:space="preserve"> </w:t>
      </w:r>
      <w:r>
        <w:rPr>
          <w:rFonts w:hint="default" w:ascii="Times New Roman" w:hAnsi="Times New Roman" w:eastAsia="方正楷体_GBK" w:cs="Times New Roman"/>
          <w:b/>
          <w:color w:val="auto"/>
          <w:kern w:val="36"/>
          <w:sz w:val="30"/>
          <w:szCs w:val="30"/>
          <w:lang w:val="en-US" w:eastAsia="zh-CN"/>
        </w:rPr>
        <w:t>/ 30</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68" w:firstLineChars="200"/>
        <w:contextualSpacing/>
        <w:jc w:val="left"/>
        <w:textAlignment w:val="auto"/>
        <w:outlineLvl w:val="1"/>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pPr>
      <w:r>
        <w:rPr>
          <w:rFonts w:hint="default" w:ascii="方正楷体_GBK" w:hAnsi="方正楷体_GBK" w:eastAsia="方正楷体_GBK" w:cs="方正楷体_GBK"/>
          <w:b/>
          <w:color w:val="auto"/>
          <w:spacing w:val="0"/>
          <w:kern w:val="36"/>
          <w:sz w:val="30"/>
          <w:szCs w:val="30"/>
          <w:lang w:val="en-US" w:eastAsia="zh-CN"/>
        </w:rPr>
        <w:t>镇江贸促会组织企业参加江苏国际服务贸易展</w:t>
      </w:r>
      <w:r>
        <w:rPr>
          <w:rFonts w:hint="eastAsia" w:ascii="方正楷体_GBK" w:hAnsi="方正楷体_GBK" w:eastAsia="方正楷体_GBK" w:cs="方正楷体_GBK"/>
          <w:b/>
          <w:color w:val="auto"/>
          <w:kern w:val="36"/>
          <w:sz w:val="30"/>
          <w:szCs w:val="30"/>
          <w:lang w:val="en-US" w:eastAsia="zh-CN"/>
        </w:rPr>
        <w:t xml:space="preserve"> </w:t>
      </w:r>
      <w:r>
        <w:rPr>
          <w:rFonts w:hint="default" w:ascii="Times New Roman" w:hAnsi="Times New Roman" w:eastAsia="方正楷体_GBK" w:cs="Times New Roman"/>
          <w:b/>
          <w:color w:val="auto"/>
          <w:kern w:val="36"/>
          <w:sz w:val="30"/>
          <w:szCs w:val="30"/>
          <w:lang w:val="en-US" w:eastAsia="zh-CN"/>
        </w:rPr>
        <w:t>/ 31</w:t>
      </w:r>
      <w:r>
        <w:rPr>
          <w:rFonts w:hint="eastAsia" w:ascii="方正楷体_GBK" w:hAnsi="方正楷体_GBK" w:eastAsia="方正楷体_GBK" w:cs="方正楷体_GBK"/>
          <w:b/>
          <w:color w:val="auto"/>
          <w:kern w:val="36"/>
          <w:sz w:val="30"/>
          <w:szCs w:val="30"/>
          <w:lang w:val="en-US" w:eastAsia="zh-CN"/>
        </w:rPr>
        <w:t xml:space="preserve"> </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eastAsia="宋体" w:cs="Times New Roman"/>
          <w:b/>
          <w:color w:val="FF0000"/>
          <w:kern w:val="36"/>
          <w:sz w:val="32"/>
          <w:szCs w:val="32"/>
          <w:lang w:val="en-US" w:eastAsia="zh-CN"/>
        </w:rPr>
      </w:pP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 xml:space="preserve">• 会员企业风采 • </w:t>
      </w:r>
      <w:r>
        <w:rPr>
          <w:rFonts w:hint="default" w:ascii="Times New Roman" w:hAnsi="Times New Roman" w:eastAsia="宋体" w:cs="Times New Roman"/>
          <w:b/>
          <w:color w:val="FF0000"/>
          <w:kern w:val="36"/>
          <w:sz w:val="32"/>
          <w:szCs w:val="32"/>
          <w:lang w:val="en-US" w:eastAsia="zh-CN"/>
        </w:rPr>
        <w:t>‧‧‧‧‧‧‧‧‧‧‧‧‧‧‧‧‧‧‧‧‧‧‧‧‧‧‧‧‧‧‧‧‧‧‧‧‧‧‧‧‧‧‧‧‧‧‧‧‧‧‧‧‧‧‧‧‧‧‧‧‧‧‧‧‧‧‧‧‧‧‧‧‧‧‧‧‧‧</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color w:val="auto"/>
          <w:spacing w:val="-17"/>
          <w:kern w:val="36"/>
          <w:sz w:val="30"/>
          <w:szCs w:val="30"/>
          <w:lang w:val="en-US" w:eastAsia="zh-CN"/>
        </w:rPr>
      </w:pPr>
      <w:r>
        <w:rPr>
          <w:rFonts w:hint="default" w:ascii="Times New Roman" w:hAnsi="Times New Roman" w:eastAsia="方正楷体_GBK" w:cs="Times New Roman"/>
          <w:b/>
          <w:color w:val="auto"/>
          <w:spacing w:val="0"/>
          <w:kern w:val="36"/>
          <w:sz w:val="30"/>
          <w:szCs w:val="30"/>
          <w:lang w:val="en-US" w:eastAsia="zh-CN"/>
        </w:rPr>
        <w:t>央媒点赞徐矿在绿色低碳新赛道上的生动实践</w:t>
      </w:r>
      <w:r>
        <w:rPr>
          <w:rFonts w:hint="eastAsia" w:ascii="Times New Roman" w:hAnsi="Times New Roman" w:eastAsia="方正楷体_GBK" w:cs="Times New Roman"/>
          <w:b/>
          <w:color w:val="auto"/>
          <w:spacing w:val="-17"/>
          <w:kern w:val="36"/>
          <w:sz w:val="30"/>
          <w:szCs w:val="30"/>
          <w:lang w:val="en-US" w:eastAsia="zh-CN"/>
        </w:rPr>
        <w:t xml:space="preserve"> / 33</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color w:val="auto"/>
          <w:spacing w:val="-17"/>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聚焦太仓新经济 焦点科技推动跨境服务创新 / 34</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24" w:firstLineChars="200"/>
        <w:contextualSpacing/>
        <w:textAlignment w:val="auto"/>
        <w:outlineLvl w:val="1"/>
        <w:rPr>
          <w:rFonts w:hint="default" w:ascii="Times New Roman" w:hAnsi="Times New Roman" w:eastAsia="方正楷体_GBK" w:cs="Times New Roman"/>
          <w:b/>
          <w:color w:val="auto"/>
          <w:spacing w:val="-17"/>
          <w:kern w:val="36"/>
          <w:sz w:val="30"/>
          <w:szCs w:val="30"/>
          <w:lang w:val="en-US" w:eastAsia="zh-CN"/>
        </w:rPr>
        <w:sectPr>
          <w:footerReference r:id="rId3" w:type="default"/>
          <w:pgSz w:w="11906" w:h="16838"/>
          <w:pgMar w:top="2098" w:right="1474" w:bottom="1984" w:left="1587" w:header="1417" w:footer="992" w:gutter="0"/>
          <w:pgBorders>
            <w:top w:val="single" w:color="F82206" w:sz="48" w:space="1"/>
            <w:left w:val="single" w:color="F82206" w:sz="48" w:space="4"/>
            <w:bottom w:val="single" w:color="F82206" w:sz="48" w:space="1"/>
            <w:right w:val="single" w:color="F82206" w:sz="48" w:space="4"/>
          </w:pgBorders>
          <w:pgNumType w:fmt="decimal" w:start="1"/>
          <w:cols w:space="425" w:num="1"/>
          <w:docGrid w:type="linesAndChars" w:linePitch="290" w:charSpace="-3420"/>
        </w:sectPr>
      </w:pPr>
      <w:r>
        <w:rPr>
          <w:rFonts w:hint="default" w:ascii="Times New Roman" w:hAnsi="Times New Roman" w:eastAsia="方正楷体_GBK" w:cs="Times New Roman"/>
          <w:b/>
          <w:color w:val="auto"/>
          <w:spacing w:val="-11"/>
          <w:kern w:val="36"/>
          <w:sz w:val="30"/>
          <w:szCs w:val="30"/>
          <w:lang w:val="en-US" w:eastAsia="zh-CN"/>
        </w:rPr>
        <w:t>第十四届中国（南京）国际糖酒会盛大开幕，洋河股份再夺11“金”！</w:t>
      </w:r>
      <w:r>
        <w:rPr>
          <w:rFonts w:hint="eastAsia" w:ascii="Times New Roman" w:hAnsi="Times New Roman" w:eastAsia="方正楷体_GBK" w:cs="Times New Roman"/>
          <w:b/>
          <w:color w:val="auto"/>
          <w:spacing w:val="-17"/>
          <w:kern w:val="36"/>
          <w:sz w:val="30"/>
          <w:szCs w:val="30"/>
          <w:lang w:val="en-US" w:eastAsia="zh-CN"/>
        </w:rPr>
        <w:t xml:space="preserve"> / 35 </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pPr>
      <w:r>
        <w:rPr>
          <w:rFonts w:hint="default"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t>全球</w:t>
      </w:r>
      <w:r>
        <w:rPr>
          <w:rFonts w:hint="eastAsia"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t>经贸分析</w:t>
      </w:r>
    </w:p>
    <w:p>
      <w:pPr>
        <w:rPr>
          <w:rFonts w:hint="default" w:ascii="Calibri" w:hAnsi="Calibri" w:eastAsia="宋体" w:cs="Calibri"/>
          <w:b/>
          <w:bCs/>
          <w:color w:val="0000FF"/>
          <w:highlight w:val="yellow"/>
          <w:lang w:val="en-US" w:eastAsia="zh-CN"/>
        </w:rPr>
      </w:pPr>
      <w:r>
        <w:rPr>
          <w:rFonts w:hint="eastAsia" w:ascii="方正小标宋_GBK" w:hAnsi="方正小标宋_GBK" w:eastAsia="方正小标宋_GBK" w:cs="方正小标宋_GBK"/>
          <w:b/>
          <w:bCs/>
          <w:color w:val="0000FF"/>
          <w:sz w:val="32"/>
          <w:szCs w:val="32"/>
          <w:highlight w:val="yellow"/>
          <w:lang w:val="en-US" w:eastAsia="zh-CN"/>
        </w:rPr>
        <w:t>8月19日（周一）</w:t>
      </w:r>
    </w:p>
    <w:p>
      <w:pPr>
        <w:jc w:val="center"/>
        <w:rPr>
          <w:rFonts w:hint="eastAsia" w:ascii="Calibri" w:hAnsi="Calibri" w:eastAsia="宋体" w:cs="Calibri"/>
          <w:b/>
          <w:bCs/>
          <w:color w:val="0000FF"/>
          <w:highlight w:val="yellow"/>
          <w:lang w:val="en-US" w:eastAsia="zh-CN"/>
        </w:rPr>
      </w:pPr>
      <w:r>
        <w:rPr>
          <w:rFonts w:hint="eastAsia" w:ascii="方正小标宋_GBK" w:hAnsi="方正小标宋_GBK" w:eastAsia="方正小标宋_GBK" w:cs="方正小标宋_GBK"/>
          <w:b/>
          <w:bCs/>
          <w:color w:val="0000FF"/>
          <w:sz w:val="36"/>
          <w:szCs w:val="36"/>
          <w:highlight w:val="yellow"/>
          <w:lang w:val="en-US" w:eastAsia="zh-CN"/>
        </w:rPr>
        <w:t>迁往新首都——看印尼的发展潜力和市场机遇</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印度尼西亚已经开始了迁都的进程。印尼总统佐科·维多多在8月12日首次在新首都努山塔拉主持了内阁全体会议，评估新首都的发展状况。8月17日，印尼政府在努山塔拉举行庆祝独立日的盛大仪式。</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努山塔拉的建设仍在进行中，目前雅加达仍然是印尼的首都，直到下任总统颁布法令正式迁都。预计这将在年内发生，届时，上万名公务员也将搬迁至努山塔拉；雅加达作为印尼经济中心，其地位和功能将继续保留。</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2022年1月，印尼国会批准佐科总统的提议：将首都从目前的政府所在地雅加达迁往婆罗洲东部，热带雨林中的努山塔拉（Nusantara）。努山塔拉的规划面积是新加坡的三倍半，是佐科总统任期内规模最大的基础设施项目。</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印尼政府希望新首都能成为印尼未来经济增长的动力，在20年内创造400多万个就业岗位，并成为绿色环保、具有包容性的国际化大都市。目前的首都雅加达位于爪哇岛，后者也是印尼的经济中心，而婆罗洲东部，东加里曼丹岛的努山塔拉，则是印尼的地理中心。</w:t>
      </w:r>
    </w:p>
    <w:p>
      <w:pPr>
        <w:rPr>
          <w:rFonts w:hint="eastAsia" w:ascii="Calibri" w:hAnsi="Calibri" w:cs="Calibri"/>
          <w:lang w:val="en-US" w:eastAsia="zh-CN"/>
        </w:rPr>
      </w:pP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rPr>
        <w:drawing>
          <wp:anchor distT="0" distB="0" distL="114300" distR="114300" simplePos="0" relativeHeight="251658240" behindDoc="0" locked="0" layoutInCell="1" allowOverlap="1">
            <wp:simplePos x="0" y="0"/>
            <wp:positionH relativeFrom="column">
              <wp:posOffset>1700530</wp:posOffset>
            </wp:positionH>
            <wp:positionV relativeFrom="paragraph">
              <wp:posOffset>153035</wp:posOffset>
            </wp:positionV>
            <wp:extent cx="3842385" cy="1609090"/>
            <wp:effectExtent l="0" t="0" r="5715" b="10160"/>
            <wp:wrapSquare wrapText="bothSides"/>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pic:cNvPicPr>
                  </pic:nvPicPr>
                  <pic:blipFill>
                    <a:blip r:embed="rId6"/>
                    <a:stretch>
                      <a:fillRect/>
                    </a:stretch>
                  </pic:blipFill>
                  <pic:spPr>
                    <a:xfrm>
                      <a:off x="0" y="0"/>
                      <a:ext cx="3842385" cy="1609090"/>
                    </a:xfrm>
                    <a:prstGeom prst="rect">
                      <a:avLst/>
                    </a:prstGeom>
                    <a:noFill/>
                    <a:ln>
                      <a:noFill/>
                    </a:ln>
                  </pic:spPr>
                </pic:pic>
              </a:graphicData>
            </a:graphic>
          </wp:anchor>
        </w:drawing>
      </w:r>
      <w:r>
        <w:rPr>
          <w:rFonts w:hint="eastAsia" w:asciiTheme="minorEastAsia" w:hAnsiTheme="minorEastAsia" w:eastAsiaTheme="minorEastAsia" w:cstheme="minorEastAsia"/>
          <w:sz w:val="32"/>
          <w:szCs w:val="32"/>
          <w:lang w:val="en-US" w:eastAsia="zh-CN"/>
        </w:rPr>
        <w:t>印度尼西亚是近年来表现最好的经济体之一。得益于审慎的管理，印尼的公共财政有所改善，经济也更加稳定，经济的年增长率一直保持在5%左右。</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而仅在10年之前，印尼还是“脆弱五国”的成员之一。所谓“脆弱五国”，是2013年时国际金融市场使用的一个术语，指代巴西、印度尼西亚、印度、南非和土耳其五国。当时，这五国的经济高度依赖进口、贸易赤字急速扩大、通胀率高企、货币贬值，经济结构呈现出显著的脆弱性，因此受到国际金融市场关注和担心。</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这10年间，印尼政府对基础设施进行了全面改造，新增了数千公里的公路和铁路，新建了数十个机场和港口。通过一揽子改革，放宽了对外国投资的限制；最引以为豪的成就，还是其以镍为重点的产业政策。</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镍金属用于电动汽车的电池，印尼拥有世界上最大的镍矿储量。自2014年起，印尼禁止出口大部分原矿，目的是迫使外资企业在印尼进行加工和生产。比亚迪、福特和现代等汽车制造商目前都已在印尼投资建厂。</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Calibri" w:hAnsi="Calibri" w:cs="Calibri"/>
          <w:lang w:val="en-US" w:eastAsia="zh-CN"/>
        </w:rPr>
      </w:pPr>
      <w:r>
        <w:rPr>
          <w:rFonts w:hint="eastAsia" w:asciiTheme="minorEastAsia" w:hAnsiTheme="minorEastAsia" w:eastAsiaTheme="minorEastAsia" w:cstheme="minorEastAsia"/>
          <w:sz w:val="32"/>
          <w:szCs w:val="32"/>
          <w:lang w:val="en-US" w:eastAsia="zh-CN"/>
        </w:rPr>
        <w:t>现在，印尼的镍金属产量占全球一半。经过加工的镍铁出口额从2014年的8,300万美元增至2022年的58亿美元。有了一个强有力的工业部门，其产品大多用于出口，于是印尼的经常账户能够</w:t>
      </w:r>
      <w:r>
        <w:rPr>
          <w:rFonts w:hint="eastAsia" w:asciiTheme="minorEastAsia" w:hAnsiTheme="minorEastAsia" w:eastAsiaTheme="minorEastAsia" w:cstheme="minorEastAsia"/>
          <w:sz w:val="32"/>
          <w:szCs w:val="32"/>
        </w:rPr>
        <w:drawing>
          <wp:anchor distT="0" distB="0" distL="114300" distR="114300" simplePos="0" relativeHeight="251659264" behindDoc="0" locked="0" layoutInCell="1" allowOverlap="1">
            <wp:simplePos x="0" y="0"/>
            <wp:positionH relativeFrom="column">
              <wp:posOffset>2583180</wp:posOffset>
            </wp:positionH>
            <wp:positionV relativeFrom="paragraph">
              <wp:posOffset>140335</wp:posOffset>
            </wp:positionV>
            <wp:extent cx="2917825" cy="2037715"/>
            <wp:effectExtent l="0" t="0" r="15875" b="635"/>
            <wp:wrapSquare wrapText="bothSides"/>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7"/>
                    <a:stretch>
                      <a:fillRect/>
                    </a:stretch>
                  </pic:blipFill>
                  <pic:spPr>
                    <a:xfrm>
                      <a:off x="0" y="0"/>
                      <a:ext cx="2917825" cy="2037715"/>
                    </a:xfrm>
                    <a:prstGeom prst="rect">
                      <a:avLst/>
                    </a:prstGeom>
                    <a:noFill/>
                    <a:ln>
                      <a:noFill/>
                    </a:ln>
                  </pic:spPr>
                </pic:pic>
              </a:graphicData>
            </a:graphic>
          </wp:anchor>
        </w:drawing>
      </w:r>
      <w:r>
        <w:rPr>
          <w:rFonts w:hint="eastAsia" w:asciiTheme="minorEastAsia" w:hAnsiTheme="minorEastAsia" w:eastAsiaTheme="minorEastAsia" w:cstheme="minorEastAsia"/>
          <w:sz w:val="32"/>
          <w:szCs w:val="32"/>
          <w:lang w:val="en-US" w:eastAsia="zh-CN"/>
        </w:rPr>
        <w:t>平衡，外债也处于可控状态。</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从2022年开始，印尼政府投入340亿美元，在婆罗洲的热带雨林中建造出一座新首都。新首都吸引了全球的目光，这时，大家才意识到，印尼的经济实力和发展潜力已不容小觑，它</w:t>
      </w:r>
      <w:r>
        <w:rPr>
          <w:rFonts w:hint="eastAsia" w:asciiTheme="minorEastAsia" w:hAnsiTheme="minorEastAsia" w:eastAsiaTheme="minorEastAsia" w:cstheme="minorEastAsia"/>
          <w:b/>
          <w:bCs/>
          <w:sz w:val="32"/>
          <w:szCs w:val="32"/>
          <w:lang w:val="en-US" w:eastAsia="zh-CN"/>
        </w:rPr>
        <w:t>具备成为一个大规模经济体的所有基本要素</w:t>
      </w:r>
      <w:r>
        <w:rPr>
          <w:rFonts w:hint="eastAsia" w:asciiTheme="minorEastAsia" w:hAnsiTheme="minorEastAsia" w:eastAsiaTheme="minorEastAsia" w:cstheme="minorEastAsia"/>
          <w:sz w:val="32"/>
          <w:szCs w:val="32"/>
          <w:lang w:val="en-US" w:eastAsia="zh-CN"/>
        </w:rPr>
        <w:t>。</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b/>
          <w:bCs/>
          <w:sz w:val="32"/>
          <w:szCs w:val="32"/>
          <w:lang w:val="en-US" w:eastAsia="zh-CN"/>
        </w:rPr>
      </w:pPr>
      <w:r>
        <w:rPr>
          <w:rFonts w:hint="eastAsia" w:asciiTheme="minorEastAsia" w:hAnsiTheme="minorEastAsia" w:eastAsiaTheme="minorEastAsia" w:cstheme="minorEastAsia"/>
          <w:b/>
          <w:bCs/>
          <w:sz w:val="32"/>
          <w:szCs w:val="32"/>
          <w:lang w:val="en-US" w:eastAsia="zh-CN"/>
        </w:rPr>
        <w:t>首先，印尼的幅员辽阔。</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如果将其地图叠加到欧亚大陆地图上，它能会从爱尔兰一直延伸到土库曼斯坦。其地形独特，人口分布在数以千计的岛屿上，有些岛屿上人烟稠密，工农业发达，有的则人口稀少，商业清淡。</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但正是</w:t>
      </w:r>
      <w:r>
        <w:rPr>
          <w:rFonts w:hint="eastAsia" w:asciiTheme="minorEastAsia" w:hAnsiTheme="minorEastAsia" w:eastAsiaTheme="minorEastAsia" w:cstheme="minorEastAsia"/>
          <w:b/>
          <w:bCs/>
          <w:sz w:val="32"/>
          <w:szCs w:val="32"/>
          <w:lang w:val="en-US" w:eastAsia="zh-CN"/>
        </w:rPr>
        <w:t>这种充满挑战的地理条件，促进了印尼电子商务和数字经济的蓬勃发展</w:t>
      </w:r>
      <w:r>
        <w:rPr>
          <w:rFonts w:hint="eastAsia" w:asciiTheme="minorEastAsia" w:hAnsiTheme="minorEastAsia" w:eastAsiaTheme="minorEastAsia" w:cstheme="minorEastAsia"/>
          <w:sz w:val="32"/>
          <w:szCs w:val="32"/>
          <w:lang w:val="en-US" w:eastAsia="zh-CN"/>
        </w:rPr>
        <w:t>。雅加达已成为东南亚最成功的新技术公司孵化器之一。近五分之四的印尼人拥有智能手机，使得印尼成为东南亚最大的电商市场。</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8月13日，Shopee的母公司SEA发布2024年第二季度财报。二季度，SEA集团总营收达到了38亿美元，同比增长23%，作为集团的主营业务，Shopee电商业务的营收为28亿美元，占集团业务的73.6%。值得注意的是，</w:t>
      </w:r>
      <w:r>
        <w:rPr>
          <w:rFonts w:hint="eastAsia" w:asciiTheme="minorEastAsia" w:hAnsiTheme="minorEastAsia" w:eastAsiaTheme="minorEastAsia" w:cstheme="minorEastAsia"/>
          <w:b/>
          <w:bCs/>
          <w:sz w:val="32"/>
          <w:szCs w:val="32"/>
          <w:lang w:val="en-US" w:eastAsia="zh-CN"/>
        </w:rPr>
        <w:t>Shopee是印尼最大的网上商城</w:t>
      </w:r>
      <w:r>
        <w:rPr>
          <w:rFonts w:hint="eastAsia" w:asciiTheme="minorEastAsia" w:hAnsiTheme="minorEastAsia" w:eastAsiaTheme="minorEastAsia" w:cstheme="minorEastAsia"/>
          <w:sz w:val="32"/>
          <w:szCs w:val="32"/>
          <w:lang w:val="en-US" w:eastAsia="zh-CN"/>
        </w:rPr>
        <w:t>，占印尼电子商务市场的40%左右。</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b/>
          <w:bCs/>
          <w:sz w:val="32"/>
          <w:szCs w:val="32"/>
          <w:lang w:val="en-US" w:eastAsia="zh-CN"/>
        </w:rPr>
      </w:pPr>
      <w:r>
        <w:rPr>
          <w:rFonts w:hint="eastAsia" w:asciiTheme="minorEastAsia" w:hAnsiTheme="minorEastAsia" w:eastAsiaTheme="minorEastAsia" w:cstheme="minorEastAsia"/>
          <w:b/>
          <w:bCs/>
          <w:sz w:val="32"/>
          <w:szCs w:val="32"/>
          <w:lang w:val="en-US" w:eastAsia="zh-CN"/>
        </w:rPr>
        <w:t>其次，印尼的人口规模和结构都是重要的潜在优势。</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它是世界第四人口大国，拥有2.76亿人口。而且，印尼的人口结构相当年轻：15岁以下人口占25%，65岁以上人口仅占7%。众多的年轻人口，意味着一个巨大且不断增长的消费市场，同时，也是一个充满活力的劳动力市场。</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b/>
          <w:bCs/>
          <w:sz w:val="32"/>
          <w:szCs w:val="32"/>
          <w:lang w:val="en-US" w:eastAsia="zh-CN"/>
        </w:rPr>
      </w:pPr>
      <w:r>
        <w:rPr>
          <w:rFonts w:hint="eastAsia" w:asciiTheme="minorEastAsia" w:hAnsiTheme="minorEastAsia" w:eastAsiaTheme="minorEastAsia" w:cstheme="minorEastAsia"/>
          <w:b/>
          <w:bCs/>
          <w:sz w:val="32"/>
          <w:szCs w:val="32"/>
          <w:lang w:val="en-US" w:eastAsia="zh-CN"/>
        </w:rPr>
        <w:t>第三，印尼已经具备了一定的经济规模。</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印尼近年来一直是世界上表现最好的经济体之一。按GDP计算，印尼是第六大新兴市场，按购买力调整后的人均GDP，已经超过了印度和越南。如果未来10年，印尼继续保持目前的增长速度，它将进入全球前十大的经济体的行列。</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当然，</w:t>
      </w:r>
      <w:r>
        <w:rPr>
          <w:rFonts w:hint="eastAsia" w:asciiTheme="minorEastAsia" w:hAnsiTheme="minorEastAsia" w:eastAsiaTheme="minorEastAsia" w:cstheme="minorEastAsia"/>
          <w:b/>
          <w:bCs/>
          <w:sz w:val="32"/>
          <w:szCs w:val="32"/>
          <w:lang w:val="en-US" w:eastAsia="zh-CN"/>
        </w:rPr>
        <w:t>印尼也有自己的弱项</w:t>
      </w:r>
      <w:r>
        <w:rPr>
          <w:rFonts w:hint="eastAsia" w:asciiTheme="minorEastAsia" w:hAnsiTheme="minorEastAsia" w:eastAsiaTheme="minorEastAsia" w:cstheme="minorEastAsia"/>
          <w:sz w:val="32"/>
          <w:szCs w:val="32"/>
          <w:lang w:val="en-US" w:eastAsia="zh-CN"/>
        </w:rPr>
        <w:t>。</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b/>
          <w:bCs/>
          <w:sz w:val="32"/>
          <w:szCs w:val="32"/>
          <w:lang w:val="en-US" w:eastAsia="zh-CN"/>
        </w:rPr>
      </w:pPr>
      <w:r>
        <w:rPr>
          <w:rFonts w:hint="eastAsia" w:asciiTheme="minorEastAsia" w:hAnsiTheme="minorEastAsia" w:eastAsiaTheme="minorEastAsia" w:cstheme="minorEastAsia"/>
          <w:b/>
          <w:bCs/>
          <w:sz w:val="32"/>
          <w:szCs w:val="32"/>
          <w:lang w:val="en-US" w:eastAsia="zh-CN"/>
        </w:rPr>
        <w:t>首先，区域发展不平衡。</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2022年，雅加达的人均GDP增至约1.9万美元，在邻近的中爪哇省，人均GDP还不到3千美元。一些偏远岛屿人均收入甚至更低。印尼经济发展到目前的水平，已经看到瓶颈，必须加速才能冲过“中等收入陷阱”。因此，区域发展不平衡，既是挑战，也是机遇。</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b/>
          <w:bCs/>
          <w:sz w:val="32"/>
          <w:szCs w:val="32"/>
          <w:lang w:val="en-US" w:eastAsia="zh-CN"/>
        </w:rPr>
      </w:pPr>
      <w:r>
        <w:rPr>
          <w:rFonts w:hint="eastAsia" w:asciiTheme="minorEastAsia" w:hAnsiTheme="minorEastAsia" w:eastAsiaTheme="minorEastAsia" w:cstheme="minorEastAsia"/>
          <w:b/>
          <w:bCs/>
          <w:sz w:val="32"/>
          <w:szCs w:val="32"/>
          <w:lang w:val="en-US" w:eastAsia="zh-CN"/>
        </w:rPr>
        <w:t>其次，产业结构仍显单薄。</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印尼的经济支柱是大宗商品（矿产品），其中一些产品因能源转型而激发出全球需求。印尼的镍产量（用于电动汽车电池）独步天下。《经济学人》的分析表明，到2030年，印尼将成为世界第四大“绿色大宗商品”的生产国，仅次于澳大利亚、智利和蒙古。</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所谓“绿色大宗商品”，指的是为了完成能源绿色转型，所必需的矿产品，比如铜、锂、镍等。但对某种商品的需求，是由技术所决定的，当电池出现了新的解决方案，对印尼镍矿的需求可能会锐减。</w:t>
      </w:r>
    </w:p>
    <w:p>
      <w:pPr>
        <w:jc w:val="center"/>
        <w:rPr>
          <w:rFonts w:hint="eastAsia" w:ascii="仿宋_GB2312" w:hAnsi="仿宋_GB2312" w:eastAsia="仿宋_GB2312" w:cs="仿宋_GB2312"/>
          <w:lang w:eastAsia="zh-CN"/>
        </w:rPr>
      </w:pPr>
      <w:r>
        <w:rPr>
          <w:rFonts w:hint="eastAsia" w:ascii="方正仿宋_GBK" w:hAnsi="方正仿宋_GBK" w:eastAsia="方正仿宋_GBK" w:cs="方正仿宋_GBK"/>
          <w:sz w:val="24"/>
          <w:szCs w:val="24"/>
        </w:rPr>
        <w:drawing>
          <wp:anchor distT="0" distB="0" distL="114300" distR="114300" simplePos="0" relativeHeight="251660288" behindDoc="0" locked="0" layoutInCell="1" allowOverlap="1">
            <wp:simplePos x="0" y="0"/>
            <wp:positionH relativeFrom="column">
              <wp:posOffset>509270</wp:posOffset>
            </wp:positionH>
            <wp:positionV relativeFrom="paragraph">
              <wp:posOffset>22225</wp:posOffset>
            </wp:positionV>
            <wp:extent cx="4328160" cy="2433955"/>
            <wp:effectExtent l="0" t="0" r="15240" b="4445"/>
            <wp:wrapTopAndBottom/>
            <wp:docPr id="5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
                    <pic:cNvPicPr>
                      <a:picLocks noChangeAspect="1"/>
                    </pic:cNvPicPr>
                  </pic:nvPicPr>
                  <pic:blipFill>
                    <a:blip r:embed="rId8"/>
                    <a:stretch>
                      <a:fillRect/>
                    </a:stretch>
                  </pic:blipFill>
                  <pic:spPr>
                    <a:xfrm>
                      <a:off x="0" y="0"/>
                      <a:ext cx="4328160" cy="2433955"/>
                    </a:xfrm>
                    <a:prstGeom prst="rect">
                      <a:avLst/>
                    </a:prstGeom>
                    <a:noFill/>
                    <a:ln>
                      <a:noFill/>
                    </a:ln>
                  </pic:spPr>
                </pic:pic>
              </a:graphicData>
            </a:graphic>
          </wp:anchor>
        </w:drawing>
      </w:r>
      <w:r>
        <w:rPr>
          <w:rFonts w:hint="eastAsia" w:ascii="方正仿宋_GBK" w:hAnsi="方正仿宋_GBK" w:eastAsia="方正仿宋_GBK" w:cs="方正仿宋_GBK"/>
          <w:sz w:val="24"/>
          <w:szCs w:val="24"/>
          <w:lang w:eastAsia="zh-CN"/>
        </w:rPr>
        <w:t>（图：对新首都的愿景）</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b/>
          <w:bCs/>
          <w:sz w:val="32"/>
          <w:szCs w:val="32"/>
          <w:lang w:val="en-US" w:eastAsia="zh-CN"/>
        </w:rPr>
      </w:pPr>
      <w:r>
        <w:rPr>
          <w:rFonts w:hint="eastAsia" w:asciiTheme="minorEastAsia" w:hAnsiTheme="minorEastAsia" w:eastAsiaTheme="minorEastAsia" w:cstheme="minorEastAsia"/>
          <w:b/>
          <w:bCs/>
          <w:sz w:val="32"/>
          <w:szCs w:val="32"/>
          <w:lang w:val="en-US" w:eastAsia="zh-CN"/>
        </w:rPr>
        <w:t>第三，全球气候变暖导致海平面上升，印尼处于不利状态。</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目前的首都雅加达就是一个例证，城中居住着1000多万人口，交通拥堵、污染严重、气候变化导致自然灾害频发，因为地下水过度开采，土地正在缓慢下沉……鉴于此，印尼政府才动议迁都——将新首都建在距离雅加达1200多公里外的婆罗洲丛林中。</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Calibri" w:hAnsi="Calibri" w:cs="Calibri"/>
          <w:b/>
          <w:bCs/>
          <w:lang w:val="en-US" w:eastAsia="zh-CN"/>
        </w:rPr>
      </w:pPr>
      <w:r>
        <w:rPr>
          <w:rFonts w:hint="eastAsia" w:asciiTheme="minorEastAsia" w:hAnsiTheme="minorEastAsia" w:eastAsiaTheme="minorEastAsia" w:cstheme="minorEastAsia"/>
          <w:b/>
          <w:bCs/>
          <w:sz w:val="32"/>
          <w:szCs w:val="32"/>
          <w:lang w:val="en-US" w:eastAsia="zh-CN"/>
        </w:rPr>
        <w:t>建设就是发展，建设就有机会，建设才有未来。</w:t>
      </w:r>
    </w:p>
    <w:p>
      <w:pPr>
        <w:rPr>
          <w:rFonts w:hint="eastAsia" w:asciiTheme="minorEastAsia" w:hAnsiTheme="minorEastAsia" w:eastAsiaTheme="minorEastAsia" w:cstheme="minorEastAsia"/>
          <w:b/>
          <w:bCs/>
          <w:color w:val="FF0000"/>
          <w:sz w:val="32"/>
          <w:szCs w:val="32"/>
          <w:lang w:val="en-US" w:eastAsia="zh-CN"/>
        </w:rPr>
      </w:pPr>
      <w:r>
        <w:rPr>
          <w:rFonts w:hint="eastAsia" w:asciiTheme="minorEastAsia" w:hAnsiTheme="minorEastAsia" w:eastAsiaTheme="minorEastAsia" w:cstheme="minorEastAsia"/>
          <w:b/>
          <w:bCs/>
          <w:color w:val="FF0000"/>
          <w:sz w:val="32"/>
          <w:szCs w:val="32"/>
          <w:lang w:val="en-US" w:eastAsia="zh-CN"/>
        </w:rPr>
        <w:drawing>
          <wp:anchor distT="0" distB="0" distL="114300" distR="114300" simplePos="0" relativeHeight="251661312" behindDoc="0" locked="0" layoutInCell="1" allowOverlap="1">
            <wp:simplePos x="0" y="0"/>
            <wp:positionH relativeFrom="column">
              <wp:posOffset>266700</wp:posOffset>
            </wp:positionH>
            <wp:positionV relativeFrom="paragraph">
              <wp:posOffset>197485</wp:posOffset>
            </wp:positionV>
            <wp:extent cx="4917440" cy="1176655"/>
            <wp:effectExtent l="0" t="0" r="16510" b="4445"/>
            <wp:wrapTopAndBottom/>
            <wp:docPr id="5" name="图片 5" descr="图片1-8月19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8月19日"/>
                    <pic:cNvPicPr>
                      <a:picLocks noChangeAspect="1"/>
                    </pic:cNvPicPr>
                  </pic:nvPicPr>
                  <pic:blipFill>
                    <a:blip r:embed="rId9"/>
                    <a:stretch>
                      <a:fillRect/>
                    </a:stretch>
                  </pic:blipFill>
                  <pic:spPr>
                    <a:xfrm>
                      <a:off x="0" y="0"/>
                      <a:ext cx="4917440" cy="1176655"/>
                    </a:xfrm>
                    <a:prstGeom prst="rect">
                      <a:avLst/>
                    </a:prstGeom>
                  </pic:spPr>
                </pic:pic>
              </a:graphicData>
            </a:graphic>
          </wp:anchor>
        </w:drawing>
      </w:r>
    </w:p>
    <w:p>
      <w:pPr>
        <w:rPr>
          <w:rFonts w:hint="default" w:ascii="Calibri" w:hAnsi="Calibri" w:eastAsia="宋体" w:cs="Calibri"/>
          <w:b/>
          <w:bCs/>
          <w:color w:val="0000FF"/>
          <w:highlight w:val="yellow"/>
          <w:lang w:val="en-US" w:eastAsia="zh-CN"/>
        </w:rPr>
      </w:pPr>
    </w:p>
    <w:p>
      <w:pPr>
        <w:rPr>
          <w:rFonts w:hint="eastAsia" w:ascii="方正小标宋_GBK" w:hAnsi="方正小标宋_GBK" w:eastAsia="方正小标宋_GBK" w:cs="方正小标宋_GBK"/>
          <w:b/>
          <w:bCs/>
          <w:color w:val="0000FF"/>
          <w:sz w:val="32"/>
          <w:szCs w:val="32"/>
          <w:highlight w:val="yellow"/>
          <w:lang w:val="en-US" w:eastAsia="zh-CN"/>
        </w:rPr>
      </w:pPr>
      <w:r>
        <w:rPr>
          <w:rFonts w:hint="eastAsia" w:ascii="方正小标宋_GBK" w:hAnsi="方正小标宋_GBK" w:eastAsia="方正小标宋_GBK" w:cs="方正小标宋_GBK"/>
          <w:b/>
          <w:bCs/>
          <w:color w:val="0000FF"/>
          <w:sz w:val="32"/>
          <w:szCs w:val="32"/>
          <w:highlight w:val="yellow"/>
          <w:lang w:val="en-US" w:eastAsia="zh-CN"/>
        </w:rPr>
        <w:br w:type="page"/>
      </w:r>
    </w:p>
    <w:p>
      <w:pPr>
        <w:rPr>
          <w:rFonts w:hint="eastAsia" w:ascii="Calibri" w:hAnsi="Calibri" w:eastAsia="宋体" w:cs="Calibri"/>
          <w:b/>
          <w:bCs/>
          <w:color w:val="0000FF"/>
          <w:highlight w:val="yellow"/>
          <w:lang w:val="en-US" w:eastAsia="zh-CN"/>
        </w:rPr>
      </w:pPr>
      <w:r>
        <w:rPr>
          <w:rFonts w:hint="eastAsia" w:ascii="方正小标宋_GBK" w:hAnsi="方正小标宋_GBK" w:eastAsia="方正小标宋_GBK" w:cs="方正小标宋_GBK"/>
          <w:b/>
          <w:bCs/>
          <w:color w:val="0000FF"/>
          <w:sz w:val="32"/>
          <w:szCs w:val="32"/>
          <w:highlight w:val="yellow"/>
          <w:lang w:val="en-US" w:eastAsia="zh-CN"/>
        </w:rPr>
        <w:t>8月20日（周二）</w:t>
      </w:r>
    </w:p>
    <w:p>
      <w:pPr>
        <w:jc w:val="center"/>
        <w:rPr>
          <w:rFonts w:hint="default" w:ascii="Calibri" w:hAnsi="Calibri" w:eastAsia="宋体" w:cs="Calibri"/>
          <w:b/>
          <w:bCs/>
          <w:color w:val="0000FF"/>
          <w:highlight w:val="yellow"/>
          <w:lang w:val="en-US" w:eastAsia="zh-CN"/>
        </w:rPr>
      </w:pPr>
      <w:r>
        <w:rPr>
          <w:rFonts w:hint="eastAsia" w:ascii="方正小标宋_GBK" w:hAnsi="方正小标宋_GBK" w:eastAsia="方正小标宋_GBK" w:cs="方正小标宋_GBK"/>
          <w:b/>
          <w:bCs/>
          <w:color w:val="0000FF"/>
          <w:sz w:val="36"/>
          <w:szCs w:val="36"/>
          <w:highlight w:val="yellow"/>
          <w:lang w:val="en-US" w:eastAsia="zh-CN"/>
        </w:rPr>
        <w:t>海平面上升和海水侵蚀，“电沉积”和产业机遇</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全球有140多个国家和地区邻海，海岸线长约160万公里。沿着这条海岸线，世界上三分之二的大城市串联其间。目前，全球有10亿人生活在海拔不超过10米的地方，海面正向我们袭来。</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从1993年开始，对全球平均海平面有了可靠的卫星测量，从那时起到2023年，30年时间全球海平面上升了超过9厘米。尽管对海平面上升的预测仍存在理论和模型分歧，但有一个共识是相当强烈的：随着世界变暖，海平面上升速度正在加快。</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default"/>
          <w:lang w:val="en-US" w:eastAsia="zh-CN"/>
        </w:rPr>
      </w:pPr>
      <w:r>
        <w:rPr>
          <w:rFonts w:hint="eastAsia" w:asciiTheme="minorEastAsia" w:hAnsiTheme="minorEastAsia" w:eastAsiaTheme="minorEastAsia" w:cstheme="minorEastAsia"/>
          <w:sz w:val="32"/>
          <w:szCs w:val="32"/>
          <w:lang w:val="en-US" w:eastAsia="zh-CN"/>
        </w:rPr>
        <w:t>联合国评估气候变化的“政府间气候变化专门委员会IPCC”说，海平面在20世纪上升了约19厘米，预计本世纪海平面将至少上升2倍，而且很可能更多。一些研究者在回顾过去40年的海平面上升预测后发现，IPCC的预测倾向于保守，这可能意味着实际的海平面上升速度将比当前的预测还要快。</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ajorEastAsia" w:hAnsiTheme="majorEastAsia" w:eastAsiaTheme="majorEastAsia" w:cstheme="majorEastAsia"/>
          <w:sz w:val="32"/>
          <w:szCs w:val="32"/>
          <w:lang w:val="en-US" w:eastAsia="zh-CN"/>
        </w:rPr>
      </w:pPr>
      <w:r>
        <w:rPr>
          <w:rFonts w:hint="eastAsia" w:asciiTheme="majorEastAsia" w:hAnsiTheme="majorEastAsia" w:eastAsiaTheme="majorEastAsia" w:cstheme="majorEastAsia"/>
          <w:sz w:val="32"/>
          <w:szCs w:val="32"/>
          <w:lang w:val="en-US" w:eastAsia="zh-CN"/>
        </w:rPr>
        <w:t>根据IPCC的数据，自1993年以来，全球平均海平面每年上升幅度在2.7毫米到3.5毫米之间。这一趋势对沿海城市和低洼地区的居民构成了直接威胁。</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ajorEastAsia" w:hAnsiTheme="majorEastAsia" w:eastAsiaTheme="majorEastAsia" w:cstheme="majorEastAsia"/>
          <w:sz w:val="32"/>
          <w:szCs w:val="32"/>
          <w:lang w:val="en-US" w:eastAsia="zh-CN"/>
        </w:rPr>
      </w:pPr>
      <w:r>
        <w:rPr>
          <w:rFonts w:hint="eastAsia" w:asciiTheme="majorEastAsia" w:hAnsiTheme="majorEastAsia" w:eastAsiaTheme="majorEastAsia" w:cstheme="majorEastAsia"/>
          <w:sz w:val="32"/>
          <w:szCs w:val="32"/>
          <w:lang w:val="en-US" w:eastAsia="zh-CN"/>
        </w:rPr>
        <w:t>对于海平面的提高，各地在努力通过工程来解决这个问题。纽约投资8亿美元，建设一个Big U项目，这是一条由公园、墙壁和高架道路组成的锁链，以保护曼哈顿下城免受飓风推动的海水侵袭。印度计划斥巨资在孟买建造四座巨大型海堤。孟加拉，常年苦于台风导致的海潮，将翻倍建设其沿海堤防系统。印度尼西亚打算投资400亿美元，建设一座海墙，形状宛若巨大的神鸟，将雅加达与大海隔开……</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ajorEastAsia" w:hAnsiTheme="majorEastAsia" w:eastAsiaTheme="majorEastAsia" w:cstheme="majorEastAsia"/>
          <w:sz w:val="32"/>
          <w:szCs w:val="32"/>
          <w:lang w:val="en-US" w:eastAsia="zh-CN"/>
        </w:rPr>
      </w:pPr>
      <w:r>
        <w:rPr>
          <w:rFonts w:hint="eastAsia" w:asciiTheme="majorEastAsia" w:hAnsiTheme="majorEastAsia" w:eastAsiaTheme="majorEastAsia" w:cstheme="majorEastAsia"/>
          <w:sz w:val="32"/>
          <w:szCs w:val="32"/>
          <w:lang w:val="en-US" w:eastAsia="zh-CN"/>
        </w:rPr>
        <w:t>人们可以建造海堤，用混凝土加固海岸，但海洋很快就会将其吞噬一空——海水的侵蚀作用是一种持续不断的自然过程，即使进行了加固措施，海水依然会很快侵蚀掉这些人工结构。</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ajorEastAsia" w:hAnsiTheme="majorEastAsia" w:eastAsiaTheme="majorEastAsia" w:cstheme="majorEastAsia"/>
          <w:sz w:val="32"/>
          <w:szCs w:val="32"/>
          <w:lang w:val="en-US" w:eastAsia="zh-CN"/>
        </w:rPr>
      </w:pPr>
      <w:r>
        <w:rPr>
          <w:rFonts w:hint="eastAsia" w:asciiTheme="majorEastAsia" w:hAnsiTheme="majorEastAsia" w:eastAsiaTheme="majorEastAsia" w:cstheme="majorEastAsia"/>
          <w:sz w:val="32"/>
          <w:szCs w:val="32"/>
          <w:lang w:val="en-US" w:eastAsia="zh-CN"/>
        </w:rPr>
        <w:t>混凝土主要由水泥、砂子、骨料和水混合而成，会受到海水环境中的盐分、潮湿及化学物质的影响。具体来说，海水中的盐分和潮湿的环境条件可以导致水泥中的钢筋生锈，从而损害水泥结构的稳定性。此外，海水中的氧气和二氧化碳也可能与水泥产生化学反应，造成一定程度的侵蚀和磨损。</w:t>
      </w:r>
    </w:p>
    <w:p>
      <w:pPr>
        <w:keepNext w:val="0"/>
        <w:keepLines w:val="0"/>
        <w:pageBreakBefore w:val="0"/>
        <w:widowControl w:val="0"/>
        <w:kinsoku/>
        <w:wordWrap/>
        <w:overflowPunct/>
        <w:topLinePunct w:val="0"/>
        <w:autoSpaceDE/>
        <w:autoSpaceDN/>
        <w:bidi w:val="0"/>
        <w:adjustRightInd/>
        <w:snapToGrid/>
        <w:ind w:firstLine="388" w:firstLineChars="200"/>
        <w:jc w:val="both"/>
        <w:textAlignment w:val="auto"/>
        <w:outlineLvl w:val="9"/>
        <w:rPr>
          <w:rFonts w:hint="default" w:ascii="Calibri" w:hAnsi="Calibri" w:cs="Calibri"/>
          <w:lang w:val="en-US" w:eastAsia="zh-CN"/>
        </w:rPr>
      </w:pPr>
      <w:r>
        <w:drawing>
          <wp:anchor distT="0" distB="0" distL="114300" distR="114300" simplePos="0" relativeHeight="251664384" behindDoc="0" locked="0" layoutInCell="1" allowOverlap="1">
            <wp:simplePos x="0" y="0"/>
            <wp:positionH relativeFrom="column">
              <wp:posOffset>2068195</wp:posOffset>
            </wp:positionH>
            <wp:positionV relativeFrom="paragraph">
              <wp:posOffset>139700</wp:posOffset>
            </wp:positionV>
            <wp:extent cx="3438525" cy="1934845"/>
            <wp:effectExtent l="0" t="0" r="9525" b="8255"/>
            <wp:wrapSquare wrapText="bothSides"/>
            <wp:docPr id="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
                    <pic:cNvPicPr>
                      <a:picLocks noChangeAspect="1"/>
                    </pic:cNvPicPr>
                  </pic:nvPicPr>
                  <pic:blipFill>
                    <a:blip r:embed="rId10"/>
                    <a:stretch>
                      <a:fillRect/>
                    </a:stretch>
                  </pic:blipFill>
                  <pic:spPr>
                    <a:xfrm>
                      <a:off x="0" y="0"/>
                      <a:ext cx="3438525" cy="1934845"/>
                    </a:xfrm>
                    <a:prstGeom prst="rect">
                      <a:avLst/>
                    </a:prstGeom>
                    <a:noFill/>
                    <a:ln>
                      <a:noFill/>
                    </a:ln>
                  </pic:spPr>
                </pic:pic>
              </a:graphicData>
            </a:graphic>
          </wp:anchor>
        </w:drawing>
      </w:r>
      <w:r>
        <w:rPr>
          <w:rFonts w:hint="eastAsia" w:asciiTheme="majorEastAsia" w:hAnsiTheme="majorEastAsia" w:eastAsiaTheme="majorEastAsia" w:cstheme="majorEastAsia"/>
          <w:sz w:val="32"/>
          <w:szCs w:val="32"/>
          <w:lang w:val="en-US" w:eastAsia="zh-CN"/>
        </w:rPr>
        <w:t>科学家们并不气馁，他们从大自然中寻找灵感。蛤蜊和贻贝等软体动物，利用海水中溶解的矿物质构建它们的壳，这一过程被称为“电沉积”——这个过程类似于电镀，生物通过这个过程将矿物质沉积在它们的壳上，逐渐形成坚固的外壳。研究人员们在科学期刊《地球与环境通讯》上撰文指出，</w:t>
      </w:r>
      <w:r>
        <w:rPr>
          <w:rFonts w:hint="eastAsia" w:asciiTheme="majorEastAsia" w:hAnsiTheme="majorEastAsia" w:eastAsiaTheme="majorEastAsia" w:cstheme="majorEastAsia"/>
          <w:b/>
          <w:bCs/>
          <w:sz w:val="32"/>
          <w:szCs w:val="32"/>
          <w:highlight w:val="none"/>
          <w:lang w:val="en-US" w:eastAsia="zh-CN"/>
        </w:rPr>
        <w:t>可以利用电沉积来抵御海水的侵蚀</w:t>
      </w:r>
      <w:r>
        <w:rPr>
          <w:rFonts w:hint="eastAsia" w:asciiTheme="majorEastAsia" w:hAnsiTheme="majorEastAsia" w:eastAsiaTheme="majorEastAsia" w:cstheme="majorEastAsia"/>
          <w:sz w:val="32"/>
          <w:szCs w:val="32"/>
          <w:lang w:val="en-US" w:eastAsia="zh-CN"/>
        </w:rPr>
        <w:t>。</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他们发现，用电流击打沙子，就会形成一种类似岩石的物质。这是因为，沙子中的矿物质被施加电击后，这些矿物质形成了一种天然的胶结物，类似于水泥的作用，将沙子颗粒粘合在一起，从而形成了类似岩石的材料。他们估计，用这个办法，保护每立方米的海岸线，成本在3至6美元之间。世界40%的人口是居住在沿海地区，从这个角度看，这个办法的性价比太高了。</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因此，全球气候变化，海平面上升，将对全球经济产生深远的影响，其中包括为绿色技术、可持续解决方案提供了新的市场机遇。</w:t>
      </w:r>
    </w:p>
    <w:p>
      <w:pPr>
        <w:rPr>
          <w:rFonts w:hint="eastAsia" w:asciiTheme="minorEastAsia" w:hAnsiTheme="minorEastAsia" w:eastAsiaTheme="minorEastAsia" w:cstheme="minorEastAsia"/>
          <w:sz w:val="32"/>
          <w:szCs w:val="32"/>
          <w:lang w:val="en-US" w:eastAsia="zh-CN"/>
        </w:rPr>
      </w:pPr>
    </w:p>
    <w:p>
      <w:pPr>
        <w:rPr>
          <w:rFonts w:hint="default" w:ascii="Calibri" w:hAnsi="Calibri" w:eastAsia="宋体" w:cs="Calibri"/>
          <w:b/>
          <w:bCs/>
          <w:color w:val="0000FF"/>
          <w:highlight w:val="yellow"/>
          <w:lang w:val="en-US" w:eastAsia="zh-CN"/>
        </w:rPr>
      </w:pPr>
      <w:r>
        <w:rPr>
          <w:rFonts w:hint="eastAsia" w:ascii="方正小标宋_GBK" w:hAnsi="方正小标宋_GBK" w:eastAsia="方正小标宋_GBK" w:cs="方正小标宋_GBK"/>
          <w:b/>
          <w:bCs/>
          <w:color w:val="0000FF"/>
          <w:sz w:val="32"/>
          <w:szCs w:val="32"/>
          <w:highlight w:val="yellow"/>
          <w:lang w:val="en-US" w:eastAsia="zh-CN"/>
        </w:rPr>
        <w:t>8月22日（周四）</w:t>
      </w:r>
    </w:p>
    <w:p>
      <w:pPr>
        <w:jc w:val="center"/>
        <w:rPr>
          <w:rFonts w:hint="default" w:ascii="Calibri" w:hAnsi="Calibri" w:eastAsia="宋体" w:cs="Calibri"/>
          <w:b/>
          <w:bCs/>
          <w:color w:val="0000FF"/>
          <w:highlight w:val="yellow"/>
          <w:lang w:val="en-US" w:eastAsia="zh-CN"/>
        </w:rPr>
      </w:pPr>
      <w:r>
        <w:rPr>
          <w:rFonts w:hint="eastAsia" w:ascii="方正小标宋_GBK" w:hAnsi="方正小标宋_GBK" w:eastAsia="方正小标宋_GBK" w:cs="方正小标宋_GBK"/>
          <w:b/>
          <w:bCs/>
          <w:color w:val="0000FF"/>
          <w:sz w:val="36"/>
          <w:szCs w:val="36"/>
          <w:highlight w:val="yellow"/>
          <w:lang w:val="en-US" w:eastAsia="zh-CN"/>
        </w:rPr>
        <w:t>“在压路机轮子前面捡钱？”——套利交易规模成谜</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8月上旬的美股暴跌，让市场开始关注套利交易，尤其是日元融资的套利交易。</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套利交易是指投资者在利率低的货币市场融资，然后在回报率高的货币市场投资。基于日美两国利差将持续扩大的假设，大量机构进行了套利交易的押注。但是，日本央行在7月31日决定将利率上调了15个基点，同时美联储9月降息的可能在不断增加，眼见利差开始收缩，投资者们便着手平仓——即卖出美元资产，抛出美元买回日元，偿还日元借款。</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平仓行为蔓延，高回报率市场的各种资产都在被抛售，价格普遍下跌，日元进一步升值；这刺激市场进一步加快平仓步伐，</w:t>
      </w:r>
      <w:r>
        <w:rPr>
          <w:rFonts w:hint="eastAsia" w:asciiTheme="minorEastAsia" w:hAnsiTheme="minorEastAsia" w:eastAsiaTheme="minorEastAsia" w:cstheme="minorEastAsia"/>
          <w:sz w:val="32"/>
          <w:szCs w:val="32"/>
          <w:highlight w:val="none"/>
          <w:lang w:val="en-US" w:eastAsia="zh-CN"/>
        </w:rPr>
        <w:t>各国的</w:t>
      </w:r>
      <w:r>
        <w:rPr>
          <w:rFonts w:hint="eastAsia" w:asciiTheme="minorEastAsia" w:hAnsiTheme="minorEastAsia" w:eastAsiaTheme="minorEastAsia" w:cstheme="minorEastAsia"/>
          <w:sz w:val="32"/>
          <w:szCs w:val="32"/>
          <w:lang w:val="en-US" w:eastAsia="zh-CN"/>
        </w:rPr>
        <w:t>各类资产都在被卖出，踩踏出现。即，交易出现同向拥挤时，会形成一种自我强化态势。</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当日元进一步走强时，会有更多人的交易进一步亏损。于是，他们不得不平仓，由此波及到并不相关的资产。比如，当交易者需要套现（调现金），来弥补套利交易的损失时，其持有的所有资产都可能会被集中抛出。</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因此，8月初，美国股市、日本股市、黄金……各种资产价格都出现暴跌。这时，人们才想起套利交易的威力，但同时惊讶地发现，居然没人知道其全球规模究竟有多大。</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最直接的统计，是查看银行系统对非银行机构的贷款。国际清算银行（BIS）指出，目前银行对非银行的日元跨境贷款达到41万亿日元（</w:t>
      </w:r>
      <w:r>
        <w:rPr>
          <w:rFonts w:hint="eastAsia" w:asciiTheme="minorEastAsia" w:hAnsiTheme="minorEastAsia" w:eastAsiaTheme="minorEastAsia" w:cstheme="minorEastAsia"/>
          <w:sz w:val="32"/>
          <w:szCs w:val="32"/>
          <w:highlight w:val="none"/>
          <w:lang w:val="en-US" w:eastAsia="zh-CN"/>
        </w:rPr>
        <w:t>2710</w:t>
      </w:r>
      <w:r>
        <w:rPr>
          <w:rFonts w:hint="eastAsia" w:asciiTheme="minorEastAsia" w:hAnsiTheme="minorEastAsia" w:eastAsiaTheme="minorEastAsia" w:cstheme="minorEastAsia"/>
          <w:sz w:val="32"/>
          <w:szCs w:val="32"/>
          <w:lang w:val="en-US" w:eastAsia="zh-CN"/>
        </w:rPr>
        <w:t>亿美元），仅过去两年，这一数额增长了52%，正是在这段时期，美联储迅速升息，美日利差扩大，套利交易猛增。</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银行借贷可能远远低估了套利交易的真实规模，因为</w:t>
      </w:r>
      <w:r>
        <w:rPr>
          <w:rFonts w:hint="eastAsia" w:asciiTheme="minorEastAsia" w:hAnsiTheme="minorEastAsia" w:eastAsiaTheme="minorEastAsia" w:cstheme="minorEastAsia"/>
          <w:b/>
          <w:bCs/>
          <w:sz w:val="32"/>
          <w:szCs w:val="32"/>
          <w:lang w:val="en-US" w:eastAsia="zh-CN"/>
        </w:rPr>
        <w:t>大部分外币借贷，并不存在于银行的资产负债表中，而是隐藏于更加广袤深邃的“外汇掉期”市场中</w:t>
      </w:r>
      <w:r>
        <w:rPr>
          <w:rFonts w:hint="eastAsia" w:asciiTheme="minorEastAsia" w:hAnsiTheme="minorEastAsia" w:eastAsiaTheme="minorEastAsia" w:cstheme="minorEastAsia"/>
          <w:sz w:val="32"/>
          <w:szCs w:val="32"/>
          <w:lang w:val="en-US" w:eastAsia="zh-CN"/>
        </w:rPr>
        <w:t>，单涉及日元的掉期市场规模约为14.2万亿美元。</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外汇掉期”交易是一种金融工具，涉及一对货币之间的交易，其中包括即期交易和远期交易的组合，其中，远期交易是指在未来的某个约定日期，按照事先约定的价格进行外汇买卖的交易形式。因为“外汇掉期”是货币的买卖合同，而非传统的资产或负债，因此</w:t>
      </w:r>
      <w:r>
        <w:rPr>
          <w:rFonts w:hint="eastAsia" w:asciiTheme="minorEastAsia" w:hAnsiTheme="minorEastAsia" w:eastAsiaTheme="minorEastAsia" w:cstheme="minorEastAsia"/>
          <w:b/>
          <w:bCs/>
          <w:sz w:val="32"/>
          <w:szCs w:val="32"/>
          <w:lang w:val="en-US" w:eastAsia="zh-CN"/>
        </w:rPr>
        <w:t>在金融机构的资产负债表上也就没有记录</w:t>
      </w:r>
      <w:r>
        <w:rPr>
          <w:rFonts w:hint="eastAsia" w:asciiTheme="minorEastAsia" w:hAnsiTheme="minorEastAsia" w:eastAsiaTheme="minorEastAsia" w:cstheme="minorEastAsia"/>
          <w:sz w:val="32"/>
          <w:szCs w:val="32"/>
          <w:lang w:val="en-US" w:eastAsia="zh-CN"/>
        </w:rPr>
        <w:t>。</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外汇掉期在全球外汇市场中扮演着重要的角色，其帮助企业和投资者管理汇率风险——通过掉期合约，他们可以锁定未来的汇率，从而避免未来汇率变动的不确定性。掉期市场的参与者包括银行、金融机构、公司、政府以及中央银行等，其规模巨大、流动性高。</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掉期交易发展到今天，其中除了普通的对冲活动外，更大部分则是投机交易。由于缺乏官方数据，无人能准确说出掉期交易的规模。</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b/>
          <w:bCs/>
          <w:sz w:val="32"/>
          <w:szCs w:val="32"/>
          <w:lang w:val="en-US" w:eastAsia="zh-CN"/>
        </w:rPr>
        <w:t>外汇掉期和套利交易是相辅相成的</w:t>
      </w:r>
      <w:r>
        <w:rPr>
          <w:rFonts w:hint="eastAsia" w:asciiTheme="minorEastAsia" w:hAnsiTheme="minorEastAsia" w:eastAsiaTheme="minorEastAsia" w:cstheme="minorEastAsia"/>
          <w:sz w:val="32"/>
          <w:szCs w:val="32"/>
          <w:lang w:val="en-US" w:eastAsia="zh-CN"/>
        </w:rPr>
        <w:t>。在进行套利交易时，投资者通常会</w:t>
      </w:r>
      <w:r>
        <w:rPr>
          <w:rFonts w:hint="eastAsia" w:asciiTheme="minorEastAsia" w:hAnsiTheme="minorEastAsia" w:eastAsiaTheme="minorEastAsia" w:cstheme="minorEastAsia"/>
          <w:b/>
          <w:bCs/>
          <w:sz w:val="32"/>
          <w:szCs w:val="32"/>
          <w:lang w:val="en-US" w:eastAsia="zh-CN"/>
        </w:rPr>
        <w:t>使用掉期交易来对冲汇率风险</w:t>
      </w:r>
      <w:r>
        <w:rPr>
          <w:rFonts w:hint="eastAsia" w:asciiTheme="minorEastAsia" w:hAnsiTheme="minorEastAsia" w:eastAsiaTheme="minorEastAsia" w:cstheme="minorEastAsia"/>
          <w:sz w:val="32"/>
          <w:szCs w:val="32"/>
          <w:lang w:val="en-US" w:eastAsia="zh-CN"/>
        </w:rPr>
        <w:t>。通过掉期交易，投资者可以在即期市场上买入高利率国家的货币，同时在远期市场上以预定汇率卖出该货币，从而锁定汇率并规避未来汇率变动的风险，以此保障套利交易的利润。</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Calibri" w:hAnsi="Calibri" w:eastAsia="宋体" w:cs="Calibri"/>
          <w:sz w:val="21"/>
          <w:szCs w:val="21"/>
          <w:lang w:val="en-US" w:eastAsia="zh-CN"/>
        </w:rPr>
      </w:pPr>
      <w:r>
        <w:rPr>
          <w:rFonts w:hint="eastAsia" w:asciiTheme="minorEastAsia" w:hAnsiTheme="minorEastAsia" w:eastAsiaTheme="minorEastAsia" w:cstheme="minorEastAsia"/>
          <w:sz w:val="32"/>
          <w:szCs w:val="32"/>
          <w:lang w:val="en-US" w:eastAsia="zh-CN"/>
        </w:rPr>
        <w:t>因为，套利交易中，最危险的事情就是借入的货币开始走强，这会造成债务的偿还成本增加，利润变成损失。在借日元买美元（资产）的套利交易中，日元升值就是最大的风险。从7月11日开始，日元出现了数十年来最快的一次反弹，对美元的汇率在几周内上涨了10%。一直稳定盈利的套利交易突然暴跌至亏损，因为美日利差不过5%，汇率一动，利润灰飞烟灭。</w:t>
      </w:r>
    </w:p>
    <w:p>
      <w:pPr>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rPr>
        <w:drawing>
          <wp:anchor distT="0" distB="0" distL="114300" distR="114300" simplePos="0" relativeHeight="251680768" behindDoc="0" locked="0" layoutInCell="1" allowOverlap="1">
            <wp:simplePos x="0" y="0"/>
            <wp:positionH relativeFrom="column">
              <wp:posOffset>1266190</wp:posOffset>
            </wp:positionH>
            <wp:positionV relativeFrom="paragraph">
              <wp:posOffset>10795</wp:posOffset>
            </wp:positionV>
            <wp:extent cx="3060700" cy="2136140"/>
            <wp:effectExtent l="0" t="0" r="6350" b="16510"/>
            <wp:wrapTopAndBottom/>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11"/>
                    <a:stretch>
                      <a:fillRect/>
                    </a:stretch>
                  </pic:blipFill>
                  <pic:spPr>
                    <a:xfrm>
                      <a:off x="0" y="0"/>
                      <a:ext cx="3060700" cy="2136140"/>
                    </a:xfrm>
                    <a:prstGeom prst="rect">
                      <a:avLst/>
                    </a:prstGeom>
                    <a:noFill/>
                    <a:ln>
                      <a:noFill/>
                    </a:ln>
                  </pic:spPr>
                </pic:pic>
              </a:graphicData>
            </a:graphic>
          </wp:anchor>
        </w:drawing>
      </w:r>
      <w:r>
        <w:rPr>
          <w:rFonts w:hint="eastAsia" w:ascii="方正仿宋_GBK" w:hAnsi="方正仿宋_GBK" w:eastAsia="方正仿宋_GBK" w:cs="方正仿宋_GBK"/>
          <w:sz w:val="24"/>
          <w:szCs w:val="24"/>
          <w:lang w:eastAsia="zh-CN"/>
        </w:rPr>
        <w:t>（图：美日利差看似不小，相较汇率波动不堪一击）</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所以，有市场人士说，套利交易就像“在压路机滚动的大轮子前面捡钱”。交易的回报并不高，但结果却可能是灾难性的。换言之，套利交易一旦出错就会产生系统性影响。</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瑞银估计，美日利差所导致的套利交易，在高峰期约有5千亿美元，目前其中一半已平仓；摩根大通则认为，美元和日元的套利交易，规模应达到惊人的4万亿美元。</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到底还有多少没有平仓，现在仍是未解之谜。当日本央行重新升息，应该还有更多的平仓盘涌出，金融动荡在所难免。</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Calibri" w:hAnsi="Calibri" w:cs="Calibri"/>
          <w:sz w:val="32"/>
          <w:szCs w:val="32"/>
          <w:lang w:val="en-US" w:eastAsia="zh-CN"/>
        </w:rPr>
      </w:pPr>
      <w:r>
        <w:rPr>
          <w:rFonts w:hint="eastAsia" w:ascii="Calibri" w:hAnsi="Calibri" w:cs="Calibri"/>
          <w:sz w:val="32"/>
          <w:szCs w:val="32"/>
          <w:lang w:val="en-US" w:eastAsia="zh-CN"/>
        </w:rPr>
        <w:t>为何日元经常成为套利交易的借入货币，其利率水平（即融资成本）长期偏低是主因，此外，另外还有一个原因——投资者通常会选择一种他们认为安全的货币，最好是来自低通胀和贸易顺差经济体的货币。低通胀和贸易顺差，意味着币值稳定。因此，日元也是公认的避险货币，一旦国际金融市场动荡，大量资金就会涌入日元。</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Calibri" w:hAnsi="Calibri" w:cs="Calibri"/>
          <w:lang w:val="en-US" w:eastAsia="zh-CN"/>
        </w:rPr>
      </w:pPr>
      <w:r>
        <w:rPr>
          <w:rFonts w:hint="eastAsia" w:ascii="Calibri" w:hAnsi="Calibri" w:cs="Calibri"/>
          <w:sz w:val="32"/>
          <w:szCs w:val="32"/>
          <w:lang w:val="en-US" w:eastAsia="zh-CN"/>
        </w:rPr>
        <w:t>所以，日元的汇率值得留意，如果突然快速走强，可能是其</w:t>
      </w:r>
      <w:r>
        <w:rPr>
          <w:rFonts w:hint="eastAsia" w:ascii="Calibri" w:hAnsi="Calibri" w:cs="Calibri"/>
          <w:b/>
          <w:bCs/>
          <w:sz w:val="32"/>
          <w:szCs w:val="32"/>
          <w:lang w:val="en-US" w:eastAsia="zh-CN"/>
        </w:rPr>
        <w:t>避险功能被启动了</w:t>
      </w:r>
      <w:r>
        <w:rPr>
          <w:rFonts w:hint="eastAsia" w:ascii="Calibri" w:hAnsi="Calibri" w:cs="Calibri"/>
          <w:sz w:val="32"/>
          <w:szCs w:val="32"/>
          <w:lang w:val="en-US" w:eastAsia="zh-CN"/>
        </w:rPr>
        <w:t>。</w:t>
      </w:r>
    </w:p>
    <w:p>
      <w:pPr>
        <w:keepNext w:val="0"/>
        <w:keepLines w:val="0"/>
        <w:pageBreakBefore w:val="0"/>
        <w:widowControl w:val="0"/>
        <w:kinsoku/>
        <w:wordWrap/>
        <w:overflowPunct/>
        <w:topLinePunct w:val="0"/>
        <w:autoSpaceDE/>
        <w:autoSpaceDN/>
        <w:bidi w:val="0"/>
        <w:adjustRightInd/>
        <w:snapToGrid/>
        <w:ind w:firstLine="388" w:firstLineChars="200"/>
        <w:jc w:val="both"/>
        <w:textAlignment w:val="auto"/>
        <w:outlineLvl w:val="9"/>
        <w:rPr>
          <w:rFonts w:hint="eastAsia" w:asciiTheme="minorEastAsia" w:hAnsiTheme="minorEastAsia" w:eastAsiaTheme="minorEastAsia" w:cstheme="minorEastAsia"/>
          <w:sz w:val="32"/>
          <w:szCs w:val="32"/>
          <w:lang w:val="en-US" w:eastAsia="zh-CN"/>
        </w:rPr>
      </w:pPr>
      <w:r>
        <w:drawing>
          <wp:anchor distT="0" distB="0" distL="114300" distR="114300" simplePos="0" relativeHeight="251681792" behindDoc="0" locked="0" layoutInCell="1" allowOverlap="1">
            <wp:simplePos x="0" y="0"/>
            <wp:positionH relativeFrom="column">
              <wp:posOffset>3366770</wp:posOffset>
            </wp:positionH>
            <wp:positionV relativeFrom="paragraph">
              <wp:posOffset>168275</wp:posOffset>
            </wp:positionV>
            <wp:extent cx="2204720" cy="774700"/>
            <wp:effectExtent l="0" t="0" r="5080" b="6350"/>
            <wp:wrapSquare wrapText="bothSides"/>
            <wp:docPr id="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
                    <pic:cNvPicPr>
                      <a:picLocks noChangeAspect="1"/>
                    </pic:cNvPicPr>
                  </pic:nvPicPr>
                  <pic:blipFill>
                    <a:blip r:embed="rId12"/>
                    <a:stretch>
                      <a:fillRect/>
                    </a:stretch>
                  </pic:blipFill>
                  <pic:spPr>
                    <a:xfrm>
                      <a:off x="0" y="0"/>
                      <a:ext cx="2204720" cy="774700"/>
                    </a:xfrm>
                    <a:prstGeom prst="rect">
                      <a:avLst/>
                    </a:prstGeom>
                    <a:noFill/>
                    <a:ln>
                      <a:noFill/>
                    </a:ln>
                  </pic:spPr>
                </pic:pic>
              </a:graphicData>
            </a:graphic>
          </wp:anchor>
        </w:drawing>
      </w:r>
      <w:r>
        <w:rPr>
          <w:rFonts w:hint="eastAsia" w:asciiTheme="minorEastAsia" w:hAnsiTheme="minorEastAsia" w:eastAsiaTheme="minorEastAsia" w:cstheme="minorEastAsia"/>
          <w:sz w:val="32"/>
          <w:szCs w:val="32"/>
          <w:lang w:val="en-US" w:eastAsia="zh-CN"/>
        </w:rPr>
        <w:t>1998年，美国大型对冲基金“长期资本管理公司”（Long-Term Capital Management）倒闭、投资者避险需求极度放大时，日元汇率出现跳涨。2008年美国次贷危机爆发，情况亦然。</w:t>
      </w:r>
    </w:p>
    <w:p>
      <w:pPr>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br w:type="page"/>
      </w:r>
    </w:p>
    <w:p>
      <w:pPr>
        <w:rPr>
          <w:rFonts w:hint="default" w:ascii="Calibri" w:hAnsi="Calibri" w:eastAsia="宋体" w:cs="Calibri"/>
          <w:b/>
          <w:bCs/>
          <w:color w:val="0000FF"/>
          <w:highlight w:val="yellow"/>
          <w:lang w:val="en-US" w:eastAsia="zh-CN"/>
        </w:rPr>
      </w:pPr>
      <w:r>
        <w:rPr>
          <w:rFonts w:hint="eastAsia" w:ascii="方正小标宋_GBK" w:hAnsi="方正小标宋_GBK" w:eastAsia="方正小标宋_GBK" w:cs="方正小标宋_GBK"/>
          <w:b/>
          <w:bCs/>
          <w:color w:val="0000FF"/>
          <w:sz w:val="32"/>
          <w:szCs w:val="32"/>
          <w:highlight w:val="yellow"/>
          <w:lang w:val="en-US" w:eastAsia="zh-CN"/>
        </w:rPr>
        <w:t>8月23日（周五）</w:t>
      </w:r>
    </w:p>
    <w:p>
      <w:pPr>
        <w:jc w:val="center"/>
        <w:rPr>
          <w:rFonts w:hint="eastAsia" w:ascii="Calibri" w:hAnsi="Calibri" w:eastAsia="宋体" w:cs="Calibri"/>
          <w:b/>
          <w:bCs/>
          <w:color w:val="0000FF"/>
          <w:highlight w:val="yellow"/>
          <w:lang w:val="en-US" w:eastAsia="zh-CN"/>
        </w:rPr>
      </w:pPr>
      <w:r>
        <w:rPr>
          <w:rFonts w:hint="eastAsia" w:ascii="方正小标宋_GBK" w:hAnsi="方正小标宋_GBK" w:eastAsia="方正小标宋_GBK" w:cs="方正小标宋_GBK"/>
          <w:b/>
          <w:bCs/>
          <w:color w:val="0000FF"/>
          <w:sz w:val="36"/>
          <w:szCs w:val="36"/>
          <w:highlight w:val="yellow"/>
          <w:lang w:val="en-US" w:eastAsia="zh-CN"/>
        </w:rPr>
        <w:t>杰克逊霍尔年会，鲍威尔暗示降息</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今年的“杰克逊霍尔全球央行年会”，于8月23日至24日举行。</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杰克逊霍尔（Jackson Hole）位于美国怀俄明州，以其风景秀丽的大提顿山脉和大提顿国家公园而闻名。它是一个备受游客青睐的度假胜地，每年，美联储在此举办关于货币政策的研讨会，因此被称为“杰克逊霍尔央行年会”。</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全球各地央行的官员受邀前来，听取美联储主席的发言，同时也发表各自的观点，表达本国货币政策的含义，所以，该研讨会也是全球各国央行的交流会议。今年的会议主题是“重新评估货币政策的有效性和传导机制”。</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Calibri" w:hAnsi="Calibri" w:cs="Calibri"/>
          <w:lang w:val="en-US" w:eastAsia="zh-CN"/>
        </w:rPr>
      </w:pPr>
      <w:r>
        <w:rPr>
          <w:rFonts w:hint="eastAsia" w:asciiTheme="minorEastAsia" w:hAnsiTheme="minorEastAsia" w:eastAsiaTheme="minorEastAsia" w:cstheme="minorEastAsia"/>
          <w:sz w:val="32"/>
          <w:szCs w:val="32"/>
          <w:lang w:eastAsia="zh-CN"/>
        </w:rPr>
        <w:t>当地时间上午</w:t>
      </w:r>
      <w:r>
        <w:rPr>
          <w:rFonts w:hint="eastAsia" w:asciiTheme="minorEastAsia" w:hAnsiTheme="minorEastAsia" w:eastAsiaTheme="minorEastAsia" w:cstheme="minorEastAsia"/>
          <w:sz w:val="32"/>
          <w:szCs w:val="32"/>
        </w:rPr>
        <w:t>10点，</w:t>
      </w:r>
      <w:r>
        <w:rPr>
          <w:rFonts w:hint="eastAsia" w:asciiTheme="minorEastAsia" w:hAnsiTheme="minorEastAsia" w:eastAsiaTheme="minorEastAsia" w:cstheme="minorEastAsia"/>
          <w:sz w:val="32"/>
          <w:szCs w:val="32"/>
          <w:lang w:val="en-US" w:eastAsia="zh-CN"/>
        </w:rPr>
        <w:t>美联储主席杰罗姆·鲍威尔发表了经济界和学界期待以久的讲话，不负众望，他发出了降息的信号：“调整政策的时机已经到来。”</w:t>
      </w:r>
    </w:p>
    <w:p>
      <w:pPr>
        <w:keepNext w:val="0"/>
        <w:keepLines w:val="0"/>
        <w:pageBreakBefore w:val="0"/>
        <w:widowControl w:val="0"/>
        <w:kinsoku/>
        <w:wordWrap/>
        <w:overflowPunct/>
        <w:topLinePunct w:val="0"/>
        <w:autoSpaceDE/>
        <w:autoSpaceDN/>
        <w:bidi w:val="0"/>
        <w:adjustRightInd/>
        <w:snapToGrid/>
        <w:ind w:left="0" w:leftChars="0" w:firstLine="388" w:firstLineChars="200"/>
        <w:jc w:val="both"/>
        <w:textAlignment w:val="auto"/>
        <w:rPr>
          <w:rFonts w:hint="eastAsia" w:ascii="Calibri" w:hAnsi="Calibri" w:eastAsia="宋体" w:cs="Calibri"/>
          <w:lang w:val="en-US" w:eastAsia="zh-CN"/>
        </w:rPr>
      </w:pPr>
      <w:r>
        <w:drawing>
          <wp:anchor distT="0" distB="0" distL="114300" distR="114300" simplePos="0" relativeHeight="251665408" behindDoc="0" locked="0" layoutInCell="1" allowOverlap="1">
            <wp:simplePos x="0" y="0"/>
            <wp:positionH relativeFrom="column">
              <wp:posOffset>3248660</wp:posOffset>
            </wp:positionH>
            <wp:positionV relativeFrom="paragraph">
              <wp:posOffset>914400</wp:posOffset>
            </wp:positionV>
            <wp:extent cx="2232660" cy="1558925"/>
            <wp:effectExtent l="0" t="0" r="15240" b="3175"/>
            <wp:wrapSquare wrapText="bothSides"/>
            <wp:docPr id="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pic:cNvPicPr>
                      <a:picLocks noChangeAspect="1"/>
                    </pic:cNvPicPr>
                  </pic:nvPicPr>
                  <pic:blipFill>
                    <a:blip r:embed="rId13"/>
                    <a:stretch>
                      <a:fillRect/>
                    </a:stretch>
                  </pic:blipFill>
                  <pic:spPr>
                    <a:xfrm>
                      <a:off x="0" y="0"/>
                      <a:ext cx="2232660" cy="1558925"/>
                    </a:xfrm>
                    <a:prstGeom prst="rect">
                      <a:avLst/>
                    </a:prstGeom>
                    <a:noFill/>
                    <a:ln>
                      <a:noFill/>
                    </a:ln>
                  </pic:spPr>
                </pic:pic>
              </a:graphicData>
            </a:graphic>
          </wp:anchor>
        </w:drawing>
      </w:r>
      <w:r>
        <w:rPr>
          <w:rFonts w:hint="eastAsia" w:asciiTheme="minorEastAsia" w:hAnsiTheme="minorEastAsia" w:eastAsiaTheme="minorEastAsia" w:cstheme="minorEastAsia"/>
          <w:sz w:val="32"/>
          <w:szCs w:val="32"/>
          <w:lang w:val="en-US" w:eastAsia="zh-CN"/>
        </w:rPr>
        <w:t>市场公认，鲍威尔与所有优秀的央行行长一样，在公开演讲时通常非常谨慎。因为其深知，当自己手握货币政策的大权时，不论是乐观还是悲观的暗示，都会在金融市场掀起狂潮。因此，鲍威尔今年发表的讲话，就显得格外明确有力。</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lang w:val="en-US" w:eastAsia="zh-CN"/>
        </w:rPr>
        <w:t>首先，关于通胀前景。鲍威尔称，</w:t>
      </w:r>
      <w:r>
        <w:rPr>
          <w:rFonts w:hint="eastAsia" w:asciiTheme="minorEastAsia" w:hAnsiTheme="minorEastAsia" w:eastAsiaTheme="minorEastAsia" w:cstheme="minorEastAsia"/>
          <w:b/>
          <w:bCs/>
          <w:sz w:val="32"/>
          <w:szCs w:val="32"/>
          <w:lang w:val="en-US" w:eastAsia="zh-CN"/>
        </w:rPr>
        <w:t>对通胀率回归2%（美联储目标）的信心</w:t>
      </w:r>
      <w:r>
        <w:rPr>
          <w:rFonts w:hint="eastAsia" w:asciiTheme="minorEastAsia" w:hAnsiTheme="minorEastAsia" w:eastAsiaTheme="minorEastAsia" w:cstheme="minorEastAsia"/>
          <w:b/>
          <w:bCs/>
          <w:sz w:val="32"/>
          <w:szCs w:val="32"/>
        </w:rPr>
        <w:t>增强</w:t>
      </w:r>
      <w:r>
        <w:rPr>
          <w:rFonts w:hint="eastAsia" w:asciiTheme="minorEastAsia" w:hAnsiTheme="minorEastAsia" w:eastAsiaTheme="minorEastAsia" w:cstheme="minorEastAsia"/>
          <w:sz w:val="32"/>
          <w:szCs w:val="32"/>
          <w:lang w:eastAsia="zh-CN"/>
        </w:rPr>
        <w:t>。关于就业市场和风险方面，他指出，短期内劳动力市场似乎不太可能成为通胀压力上升的来源，</w:t>
      </w:r>
      <w:r>
        <w:rPr>
          <w:rFonts w:hint="eastAsia" w:asciiTheme="minorEastAsia" w:hAnsiTheme="minorEastAsia" w:eastAsiaTheme="minorEastAsia" w:cstheme="minorEastAsia"/>
          <w:b/>
          <w:bCs/>
          <w:sz w:val="32"/>
          <w:szCs w:val="32"/>
          <w:lang w:eastAsia="zh-CN"/>
        </w:rPr>
        <w:t>并</w:t>
      </w:r>
      <w:r>
        <w:rPr>
          <w:rFonts w:hint="eastAsia" w:asciiTheme="minorEastAsia" w:hAnsiTheme="minorEastAsia" w:eastAsiaTheme="minorEastAsia" w:cstheme="minorEastAsia"/>
          <w:b/>
          <w:bCs/>
          <w:sz w:val="32"/>
          <w:szCs w:val="32"/>
        </w:rPr>
        <w:t>不寻求、也不欢迎就业市场</w:t>
      </w:r>
      <w:r>
        <w:rPr>
          <w:rFonts w:hint="eastAsia" w:asciiTheme="minorEastAsia" w:hAnsiTheme="minorEastAsia" w:eastAsiaTheme="minorEastAsia" w:cstheme="minorEastAsia"/>
          <w:b/>
          <w:bCs/>
          <w:sz w:val="32"/>
          <w:szCs w:val="32"/>
          <w:lang w:eastAsia="zh-CN"/>
        </w:rPr>
        <w:t>进一步</w:t>
      </w:r>
      <w:r>
        <w:rPr>
          <w:rFonts w:hint="eastAsia" w:asciiTheme="minorEastAsia" w:hAnsiTheme="minorEastAsia" w:eastAsiaTheme="minorEastAsia" w:cstheme="minorEastAsia"/>
          <w:b/>
          <w:bCs/>
          <w:sz w:val="32"/>
          <w:szCs w:val="32"/>
        </w:rPr>
        <w:t>降温</w:t>
      </w:r>
      <w:r>
        <w:rPr>
          <w:rFonts w:hint="eastAsia" w:asciiTheme="minorEastAsia" w:hAnsiTheme="minorEastAsia" w:eastAsiaTheme="minorEastAsia" w:cstheme="minorEastAsia"/>
          <w:sz w:val="32"/>
          <w:szCs w:val="32"/>
          <w:lang w:eastAsia="zh-CN"/>
        </w:rPr>
        <w:t>。总之，</w:t>
      </w:r>
      <w:r>
        <w:rPr>
          <w:rFonts w:hint="eastAsia" w:asciiTheme="minorEastAsia" w:hAnsiTheme="minorEastAsia" w:eastAsiaTheme="minorEastAsia" w:cstheme="minorEastAsia"/>
          <w:b/>
          <w:bCs/>
          <w:sz w:val="32"/>
          <w:szCs w:val="32"/>
          <w:lang w:eastAsia="zh-CN"/>
        </w:rPr>
        <w:t>通胀的上行风险已经减弱，就业的下行风险却在增加</w:t>
      </w:r>
      <w:r>
        <w:rPr>
          <w:rFonts w:hint="eastAsia" w:asciiTheme="minorEastAsia" w:hAnsiTheme="minorEastAsia" w:eastAsiaTheme="minorEastAsia" w:cstheme="minorEastAsia"/>
          <w:sz w:val="32"/>
          <w:szCs w:val="32"/>
          <w:lang w:eastAsia="zh-CN"/>
        </w:rPr>
        <w:t>。</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所以，鲍威尔讲稿中的关键一句话，是他们将“在物价稳定方面取得进一步进展的同时，尽一切努力支持强劲的劳动力市场。”市场认为，这表明鲍威尔承认对就业市场的担忧日益加剧——确实，数据显示美国经济正在放缓，7月份失业率跃升至4.3%。</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lang w:eastAsia="zh-CN"/>
        </w:rPr>
        <w:t>一如既往，鲍威尔尽量不把话说绝对，以此为美联储的政策留出灵活性。他说，后续的行动将取决于即将到来的数据，以及对风险的平衡。</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lang w:eastAsia="zh-CN"/>
        </w:rPr>
        <w:t>他没有明确</w:t>
      </w:r>
      <w:r>
        <w:rPr>
          <w:rFonts w:hint="eastAsia" w:asciiTheme="minorEastAsia" w:hAnsiTheme="minorEastAsia" w:eastAsiaTheme="minorEastAsia" w:cstheme="minorEastAsia"/>
          <w:sz w:val="32"/>
          <w:szCs w:val="32"/>
          <w:lang w:val="en-US" w:eastAsia="zh-CN"/>
        </w:rPr>
        <w:t>美联储将在9月18日货币政策会议上做出何种决定，换言之，他既未</w:t>
      </w:r>
      <w:r>
        <w:rPr>
          <w:rFonts w:hint="eastAsia" w:asciiTheme="minorEastAsia" w:hAnsiTheme="minorEastAsia" w:eastAsiaTheme="minorEastAsia" w:cstheme="minorEastAsia"/>
          <w:sz w:val="32"/>
          <w:szCs w:val="32"/>
        </w:rPr>
        <w:t>否定对9月</w:t>
      </w:r>
      <w:r>
        <w:rPr>
          <w:rFonts w:hint="eastAsia" w:asciiTheme="minorEastAsia" w:hAnsiTheme="minorEastAsia" w:eastAsiaTheme="minorEastAsia" w:cstheme="minorEastAsia"/>
          <w:sz w:val="32"/>
          <w:szCs w:val="32"/>
          <w:lang w:eastAsia="zh-CN"/>
        </w:rPr>
        <w:t>议息会议上</w:t>
      </w:r>
      <w:r>
        <w:rPr>
          <w:rFonts w:hint="eastAsia" w:asciiTheme="minorEastAsia" w:hAnsiTheme="minorEastAsia" w:eastAsiaTheme="minorEastAsia" w:cstheme="minorEastAsia"/>
          <w:sz w:val="32"/>
          <w:szCs w:val="32"/>
        </w:rPr>
        <w:t>降息50个基点的</w:t>
      </w:r>
      <w:r>
        <w:rPr>
          <w:rFonts w:hint="eastAsia" w:asciiTheme="minorEastAsia" w:hAnsiTheme="minorEastAsia" w:eastAsiaTheme="minorEastAsia" w:cstheme="minorEastAsia"/>
          <w:sz w:val="32"/>
          <w:szCs w:val="32"/>
          <w:lang w:eastAsia="zh-CN"/>
        </w:rPr>
        <w:t>预测，</w:t>
      </w:r>
      <w:r>
        <w:rPr>
          <w:rFonts w:hint="eastAsia" w:asciiTheme="minorEastAsia" w:hAnsiTheme="minorEastAsia" w:eastAsiaTheme="minorEastAsia" w:cstheme="minorEastAsia"/>
          <w:sz w:val="32"/>
          <w:szCs w:val="32"/>
        </w:rPr>
        <w:t>也</w:t>
      </w:r>
      <w:r>
        <w:rPr>
          <w:rFonts w:hint="eastAsia" w:asciiTheme="minorEastAsia" w:hAnsiTheme="minorEastAsia" w:eastAsiaTheme="minorEastAsia" w:cstheme="minorEastAsia"/>
          <w:sz w:val="32"/>
          <w:szCs w:val="32"/>
          <w:lang w:eastAsia="zh-CN"/>
        </w:rPr>
        <w:t>不</w:t>
      </w:r>
      <w:r>
        <w:rPr>
          <w:rFonts w:hint="eastAsia" w:asciiTheme="minorEastAsia" w:hAnsiTheme="minorEastAsia" w:eastAsiaTheme="minorEastAsia" w:cstheme="minorEastAsia"/>
          <w:sz w:val="32"/>
          <w:szCs w:val="32"/>
        </w:rPr>
        <w:t>像</w:t>
      </w:r>
      <w:r>
        <w:rPr>
          <w:rFonts w:hint="eastAsia" w:asciiTheme="minorEastAsia" w:hAnsiTheme="minorEastAsia" w:eastAsiaTheme="minorEastAsia" w:cstheme="minorEastAsia"/>
          <w:sz w:val="32"/>
          <w:szCs w:val="32"/>
          <w:lang w:eastAsia="zh-CN"/>
        </w:rPr>
        <w:t>某些</w:t>
      </w:r>
      <w:r>
        <w:rPr>
          <w:rFonts w:hint="eastAsia" w:asciiTheme="minorEastAsia" w:hAnsiTheme="minorEastAsia" w:eastAsiaTheme="minorEastAsia" w:cstheme="minorEastAsia"/>
          <w:sz w:val="32"/>
          <w:szCs w:val="32"/>
        </w:rPr>
        <w:t>美联储其它官员那样</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强调降息应该循环渐进、缓慢的进行</w:t>
      </w:r>
      <w:r>
        <w:rPr>
          <w:rFonts w:hint="eastAsia" w:asciiTheme="minorEastAsia" w:hAnsiTheme="minorEastAsia" w:eastAsiaTheme="minorEastAsia" w:cstheme="minorEastAsia"/>
          <w:sz w:val="32"/>
          <w:szCs w:val="32"/>
          <w:lang w:eastAsia="zh-CN"/>
        </w:rPr>
        <w:t>。如此，他的讲话就</w:t>
      </w:r>
      <w:r>
        <w:rPr>
          <w:rFonts w:hint="eastAsia" w:asciiTheme="minorEastAsia" w:hAnsiTheme="minorEastAsia" w:eastAsiaTheme="minorEastAsia" w:cstheme="minorEastAsia"/>
          <w:sz w:val="32"/>
          <w:szCs w:val="32"/>
        </w:rPr>
        <w:t>完全满足了</w:t>
      </w:r>
      <w:r>
        <w:rPr>
          <w:rFonts w:hint="eastAsia" w:asciiTheme="minorEastAsia" w:hAnsiTheme="minorEastAsia" w:eastAsiaTheme="minorEastAsia" w:cstheme="minorEastAsia"/>
          <w:sz w:val="32"/>
          <w:szCs w:val="32"/>
          <w:lang w:eastAsia="zh-CN"/>
        </w:rPr>
        <w:t>金融</w:t>
      </w:r>
      <w:r>
        <w:rPr>
          <w:rFonts w:hint="eastAsia" w:asciiTheme="minorEastAsia" w:hAnsiTheme="minorEastAsia" w:eastAsiaTheme="minorEastAsia" w:cstheme="minorEastAsia"/>
          <w:sz w:val="32"/>
          <w:szCs w:val="32"/>
        </w:rPr>
        <w:t>市场的期待</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只要不否定，对于市场来说</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就是保留了这</w:t>
      </w:r>
      <w:r>
        <w:rPr>
          <w:rFonts w:hint="eastAsia" w:asciiTheme="minorEastAsia" w:hAnsiTheme="minorEastAsia" w:eastAsiaTheme="minorEastAsia" w:cstheme="minorEastAsia"/>
          <w:sz w:val="32"/>
          <w:szCs w:val="32"/>
          <w:lang w:eastAsia="zh-CN"/>
        </w:rPr>
        <w:t>种可能。</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lang w:eastAsia="zh-CN"/>
        </w:rPr>
        <w:t>市场做出了积极反应，在他讲发表话时，</w:t>
      </w:r>
      <w:r>
        <w:rPr>
          <w:rFonts w:hint="eastAsia" w:asciiTheme="minorEastAsia" w:hAnsiTheme="minorEastAsia" w:eastAsiaTheme="minorEastAsia" w:cstheme="minorEastAsia"/>
          <w:sz w:val="32"/>
          <w:szCs w:val="32"/>
        </w:rPr>
        <w:t>美股飙升</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美元指数与美债收益率</w:t>
      </w:r>
      <w:r>
        <w:rPr>
          <w:rFonts w:hint="eastAsia" w:asciiTheme="minorEastAsia" w:hAnsiTheme="minorEastAsia" w:eastAsiaTheme="minorEastAsia" w:cstheme="minorEastAsia"/>
          <w:sz w:val="32"/>
          <w:szCs w:val="32"/>
          <w:lang w:eastAsia="zh-CN"/>
        </w:rPr>
        <w:t>开始</w:t>
      </w:r>
      <w:r>
        <w:rPr>
          <w:rFonts w:hint="eastAsia" w:asciiTheme="minorEastAsia" w:hAnsiTheme="minorEastAsia" w:eastAsiaTheme="minorEastAsia" w:cstheme="minorEastAsia"/>
          <w:sz w:val="32"/>
          <w:szCs w:val="32"/>
        </w:rPr>
        <w:t>大幅走低</w:t>
      </w:r>
      <w:r>
        <w:rPr>
          <w:rFonts w:hint="eastAsia" w:asciiTheme="minorEastAsia" w:hAnsiTheme="minorEastAsia" w:eastAsiaTheme="minorEastAsia" w:cstheme="minorEastAsia"/>
          <w:sz w:val="32"/>
          <w:szCs w:val="32"/>
          <w:lang w:val="en-US" w:eastAsia="zh-CN"/>
        </w:rPr>
        <w:t>。</w:t>
      </w:r>
      <w:r>
        <w:rPr>
          <w:rFonts w:hint="eastAsia" w:asciiTheme="minorEastAsia" w:hAnsiTheme="minorEastAsia" w:eastAsiaTheme="minorEastAsia" w:cstheme="minorEastAsia"/>
          <w:sz w:val="32"/>
          <w:szCs w:val="32"/>
          <w:lang w:eastAsia="zh-CN"/>
        </w:rPr>
        <w:t>《华尔街日报》</w:t>
      </w:r>
      <w:r>
        <w:rPr>
          <w:rFonts w:hint="eastAsia" w:asciiTheme="minorEastAsia" w:hAnsiTheme="minorEastAsia" w:eastAsiaTheme="minorEastAsia" w:cstheme="minorEastAsia"/>
          <w:sz w:val="32"/>
          <w:szCs w:val="32"/>
        </w:rPr>
        <w:t>称</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鲍威尔这次的态度</w:t>
      </w:r>
      <w:r>
        <w:rPr>
          <w:rFonts w:hint="eastAsia" w:asciiTheme="minorEastAsia" w:hAnsiTheme="minorEastAsia" w:eastAsiaTheme="minorEastAsia" w:cstheme="minorEastAsia"/>
          <w:sz w:val="32"/>
          <w:szCs w:val="32"/>
          <w:lang w:eastAsia="zh-CN"/>
        </w:rPr>
        <w:t>一反之前的</w:t>
      </w:r>
      <w:r>
        <w:rPr>
          <w:rFonts w:hint="eastAsia" w:asciiTheme="minorEastAsia" w:hAnsiTheme="minorEastAsia" w:eastAsiaTheme="minorEastAsia" w:cstheme="minorEastAsia"/>
          <w:sz w:val="32"/>
          <w:szCs w:val="32"/>
        </w:rPr>
        <w:t>模棱两可</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表现出了全面的鸽派</w:t>
      </w:r>
      <w:r>
        <w:rPr>
          <w:rFonts w:hint="eastAsia" w:asciiTheme="minorEastAsia" w:hAnsiTheme="minorEastAsia" w:eastAsiaTheme="minorEastAsia" w:cstheme="minorEastAsia"/>
          <w:sz w:val="32"/>
          <w:szCs w:val="32"/>
          <w:lang w:eastAsia="zh-CN"/>
        </w:rPr>
        <w:t>，说明央行的</w:t>
      </w:r>
      <w:r>
        <w:rPr>
          <w:rFonts w:hint="eastAsia" w:asciiTheme="minorEastAsia" w:hAnsiTheme="minorEastAsia" w:eastAsiaTheme="minorEastAsia" w:cstheme="minorEastAsia"/>
          <w:sz w:val="32"/>
          <w:szCs w:val="32"/>
        </w:rPr>
        <w:t>政策转向已经完成</w:t>
      </w:r>
      <w:r>
        <w:rPr>
          <w:rFonts w:hint="eastAsia" w:asciiTheme="minorEastAsia" w:hAnsiTheme="minorEastAsia" w:eastAsiaTheme="minorEastAsia" w:cstheme="minorEastAsia"/>
          <w:sz w:val="32"/>
          <w:szCs w:val="32"/>
          <w:lang w:eastAsia="zh-CN"/>
        </w:rPr>
        <w:t>。有</w:t>
      </w:r>
      <w:r>
        <w:rPr>
          <w:rFonts w:hint="eastAsia" w:asciiTheme="minorEastAsia" w:hAnsiTheme="minorEastAsia" w:eastAsiaTheme="minorEastAsia" w:cstheme="minorEastAsia"/>
          <w:sz w:val="32"/>
          <w:szCs w:val="32"/>
        </w:rPr>
        <w:t>机构们</w:t>
      </w:r>
      <w:r>
        <w:rPr>
          <w:rFonts w:hint="eastAsia" w:asciiTheme="minorEastAsia" w:hAnsiTheme="minorEastAsia" w:eastAsiaTheme="minorEastAsia" w:cstheme="minorEastAsia"/>
          <w:sz w:val="32"/>
          <w:szCs w:val="32"/>
          <w:lang w:eastAsia="zh-CN"/>
        </w:rPr>
        <w:t>甚至表示，鲍威尔的</w:t>
      </w:r>
      <w:r>
        <w:rPr>
          <w:rFonts w:hint="eastAsia" w:asciiTheme="minorEastAsia" w:hAnsiTheme="minorEastAsia" w:eastAsiaTheme="minorEastAsia" w:cstheme="minorEastAsia"/>
          <w:sz w:val="32"/>
          <w:szCs w:val="32"/>
        </w:rPr>
        <w:t>讲话发出了强烈的鸽派信号</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不但巩固了9月降息的预期</w:t>
      </w:r>
      <w:r>
        <w:rPr>
          <w:rFonts w:hint="eastAsia" w:asciiTheme="minorEastAsia" w:hAnsiTheme="minorEastAsia" w:eastAsiaTheme="minorEastAsia" w:cstheme="minorEastAsia"/>
          <w:sz w:val="32"/>
          <w:szCs w:val="32"/>
          <w:lang w:eastAsia="zh-CN"/>
        </w:rPr>
        <w:t>，效果上相当于提前一个月降息。</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至于对劳动力市场到底有多担心，鲍威尔自己恐怕都说不清。由于大量移民增加了潜在工人的数量，再加上新冠疫情后经济逐渐正常化，就业市场的数据都显得混乱，时常还相互矛盾。要想对就业情况有一个全面准确了解，目前几乎不可能。</w:t>
      </w:r>
    </w:p>
    <w:p>
      <w:pPr>
        <w:keepNext w:val="0"/>
        <w:keepLines w:val="0"/>
        <w:pageBreakBefore w:val="0"/>
        <w:widowControl w:val="0"/>
        <w:kinsoku/>
        <w:wordWrap/>
        <w:overflowPunct/>
        <w:topLinePunct w:val="0"/>
        <w:autoSpaceDE/>
        <w:autoSpaceDN/>
        <w:bidi w:val="0"/>
        <w:adjustRightInd/>
        <w:snapToGrid/>
        <w:ind w:firstLine="388" w:firstLineChars="200"/>
        <w:jc w:val="both"/>
        <w:textAlignment w:val="auto"/>
        <w:outlineLvl w:val="9"/>
        <w:rPr>
          <w:rFonts w:hint="eastAsia" w:asciiTheme="minorEastAsia" w:hAnsiTheme="minorEastAsia" w:eastAsiaTheme="minorEastAsia" w:cstheme="minorEastAsia"/>
          <w:sz w:val="32"/>
          <w:szCs w:val="32"/>
          <w:lang w:val="en-US" w:eastAsia="zh-CN"/>
        </w:rPr>
      </w:pPr>
      <w:r>
        <w:drawing>
          <wp:anchor distT="0" distB="0" distL="114300" distR="114300" simplePos="0" relativeHeight="251666432" behindDoc="0" locked="0" layoutInCell="1" allowOverlap="1">
            <wp:simplePos x="0" y="0"/>
            <wp:positionH relativeFrom="column">
              <wp:posOffset>2085340</wp:posOffset>
            </wp:positionH>
            <wp:positionV relativeFrom="paragraph">
              <wp:posOffset>315595</wp:posOffset>
            </wp:positionV>
            <wp:extent cx="3435350" cy="2399030"/>
            <wp:effectExtent l="0" t="0" r="12700" b="1270"/>
            <wp:wrapSquare wrapText="bothSides"/>
            <wp:docPr id="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
                    <pic:cNvPicPr>
                      <a:picLocks noChangeAspect="1"/>
                    </pic:cNvPicPr>
                  </pic:nvPicPr>
                  <pic:blipFill>
                    <a:blip r:embed="rId14"/>
                    <a:stretch>
                      <a:fillRect/>
                    </a:stretch>
                  </pic:blipFill>
                  <pic:spPr>
                    <a:xfrm>
                      <a:off x="0" y="0"/>
                      <a:ext cx="3435350" cy="2399030"/>
                    </a:xfrm>
                    <a:prstGeom prst="rect">
                      <a:avLst/>
                    </a:prstGeom>
                    <a:noFill/>
                    <a:ln>
                      <a:noFill/>
                    </a:ln>
                  </pic:spPr>
                </pic:pic>
              </a:graphicData>
            </a:graphic>
          </wp:anchor>
        </w:drawing>
      </w:r>
      <w:r>
        <w:rPr>
          <w:rFonts w:hint="eastAsia" w:asciiTheme="minorEastAsia" w:hAnsiTheme="minorEastAsia" w:eastAsiaTheme="minorEastAsia" w:cstheme="minorEastAsia"/>
          <w:sz w:val="32"/>
          <w:szCs w:val="32"/>
          <w:lang w:val="en-US" w:eastAsia="zh-CN"/>
        </w:rPr>
        <w:t>鲍威尔的发言也反映出这种困惑。他一方面指出，劳动力市场已大幅降温，失业率升至4.3%，比2023年初的低点上升了近一个百分点。他说，“我们不寻求，也不欢迎劳动力市场条件进一步降温。”同时，他也表示，失业率的增长并非因为裁员，而是因为工人供应量的增加，即劳动参与率的提高。</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总之，</w:t>
      </w:r>
      <w:r>
        <w:rPr>
          <w:rFonts w:hint="eastAsia" w:asciiTheme="minorEastAsia" w:hAnsiTheme="minorEastAsia" w:eastAsiaTheme="minorEastAsia" w:cstheme="minorEastAsia"/>
          <w:b/>
          <w:bCs/>
          <w:sz w:val="32"/>
          <w:szCs w:val="32"/>
          <w:lang w:val="en-US" w:eastAsia="zh-CN"/>
        </w:rPr>
        <w:t>他似乎并不认为，失业问题或经济衰退是迫在眉睫的威胁</w:t>
      </w:r>
      <w:r>
        <w:rPr>
          <w:rFonts w:hint="eastAsia" w:asciiTheme="minorEastAsia" w:hAnsiTheme="minorEastAsia" w:eastAsiaTheme="minorEastAsia" w:cstheme="minorEastAsia"/>
          <w:sz w:val="32"/>
          <w:szCs w:val="32"/>
          <w:lang w:val="en-US" w:eastAsia="zh-CN"/>
        </w:rPr>
        <w:t>。</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美国是全球第一大经济体，美元是全球最重要的贸易货币和储备货币。杰克逊霍尔央行年会，作为美联储的年度经济政策研讨会，历来被视为全球经济</w:t>
      </w:r>
      <w:r>
        <w:rPr>
          <w:rFonts w:hint="eastAsia" w:asciiTheme="minorEastAsia" w:hAnsiTheme="minorEastAsia" w:cstheme="minorEastAsia"/>
          <w:sz w:val="32"/>
          <w:szCs w:val="32"/>
          <w:lang w:val="en-US" w:eastAsia="zh-CN"/>
        </w:rPr>
        <w:t>界</w:t>
      </w:r>
      <w:bookmarkStart w:id="0" w:name="_GoBack"/>
      <w:bookmarkEnd w:id="0"/>
      <w:r>
        <w:rPr>
          <w:rFonts w:hint="eastAsia" w:asciiTheme="minorEastAsia" w:hAnsiTheme="minorEastAsia" w:eastAsiaTheme="minorEastAsia" w:cstheme="minorEastAsia"/>
          <w:sz w:val="32"/>
          <w:szCs w:val="32"/>
          <w:lang w:val="en-US" w:eastAsia="zh-CN"/>
        </w:rPr>
        <w:t>观察美联储政策的重要窗口。对于美联储而言，年会不仅能传达政策意图，还能塑造市场预期，是一个非常好的机会和平台。</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在过去的若干年中，连续多位美联储主席都发表讲话，不仅影响了当时的市场走势，也奠定了该年会作为政策发布平台、央行与市场对话的有效载体的重要功能。</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b/>
          <w:bCs/>
          <w:sz w:val="32"/>
          <w:szCs w:val="32"/>
          <w:lang w:val="en-US" w:eastAsia="zh-CN"/>
        </w:rPr>
        <w:t>2022年，鲍威尔在该年会上演讲的主题是“决心”</w:t>
      </w:r>
      <w:r>
        <w:rPr>
          <w:rFonts w:hint="eastAsia" w:asciiTheme="minorEastAsia" w:hAnsiTheme="minorEastAsia" w:eastAsiaTheme="minorEastAsia" w:cstheme="minorEastAsia"/>
          <w:sz w:val="32"/>
          <w:szCs w:val="32"/>
          <w:lang w:val="en-US" w:eastAsia="zh-CN"/>
        </w:rPr>
        <w:t>。在演讲中，他表明了美联储对抗通胀的决心，即使这可能会给家庭和企业带来“痛苦”。而在会议前，市场普遍预期美联储会转向宽松的货币政策。</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当鲍威尔强调，美联储将毫不犹豫地采取行动来降低通胀时，对市场的担忧——担心美联储将采取更激进措施来对抗通胀。当天美国三大股指均下跌至少3% 。</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b/>
          <w:bCs/>
          <w:sz w:val="32"/>
          <w:szCs w:val="32"/>
          <w:lang w:val="en-US" w:eastAsia="zh-CN"/>
        </w:rPr>
        <w:t>2023年，鲍威尔在年会上演讲的主题是“数据依赖”</w:t>
      </w:r>
      <w:r>
        <w:rPr>
          <w:rFonts w:hint="eastAsia" w:asciiTheme="minorEastAsia" w:hAnsiTheme="minorEastAsia" w:eastAsiaTheme="minorEastAsia" w:cstheme="minorEastAsia"/>
          <w:sz w:val="32"/>
          <w:szCs w:val="32"/>
          <w:lang w:val="en-US" w:eastAsia="zh-CN"/>
        </w:rPr>
        <w:t>，这表明美联储在制定货币政策时，将密切关注经济数据的变化。他在演讲中强调，通胀水平虽然已经明显下降，但依然过高，如有需要，美联储将进一步加息以将通胀降至2%的目标水平。</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他指出，尽管通胀有所回落，但仍然需要保持警惕，确保通胀预期保持稳定，避免通胀预期失控。</w:t>
      </w:r>
      <w:r>
        <w:rPr>
          <w:rFonts w:hint="eastAsia" w:asciiTheme="minorEastAsia" w:hAnsiTheme="minorEastAsia" w:eastAsiaTheme="minorEastAsia" w:cstheme="minorEastAsia"/>
          <w:b/>
          <w:bCs/>
          <w:sz w:val="32"/>
          <w:szCs w:val="32"/>
          <w:lang w:val="en-US" w:eastAsia="zh-CN"/>
        </w:rPr>
        <w:t>美联储在决定未来的货币政策路径时，将完全依赖于经济数据的表现，特别是通胀和劳动力市场的数据</w:t>
      </w:r>
      <w:r>
        <w:rPr>
          <w:rFonts w:hint="eastAsia" w:asciiTheme="minorEastAsia" w:hAnsiTheme="minorEastAsia" w:eastAsiaTheme="minorEastAsia" w:cstheme="minorEastAsia"/>
          <w:sz w:val="32"/>
          <w:szCs w:val="32"/>
          <w:lang w:val="en-US" w:eastAsia="zh-CN"/>
        </w:rPr>
        <w:t>。从这时起，就业情况开始成为了市场的关注。</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一直以来，美联储主席都将杰克逊霍尔年会当作</w:t>
      </w:r>
      <w:r>
        <w:rPr>
          <w:rFonts w:hint="eastAsia" w:asciiTheme="minorEastAsia" w:hAnsiTheme="minorEastAsia" w:eastAsiaTheme="minorEastAsia" w:cstheme="minorEastAsia"/>
          <w:b/>
          <w:bCs/>
          <w:sz w:val="32"/>
          <w:szCs w:val="32"/>
          <w:lang w:val="en-US" w:eastAsia="zh-CN"/>
        </w:rPr>
        <w:t>发布政策信号的渠道</w:t>
      </w:r>
      <w:r>
        <w:rPr>
          <w:rFonts w:hint="eastAsia" w:asciiTheme="minorEastAsia" w:hAnsiTheme="minorEastAsia" w:eastAsiaTheme="minorEastAsia" w:cstheme="minorEastAsia"/>
          <w:sz w:val="32"/>
          <w:szCs w:val="32"/>
          <w:lang w:val="en-US" w:eastAsia="zh-CN"/>
        </w:rPr>
        <w:t>，以及</w:t>
      </w:r>
      <w:r>
        <w:rPr>
          <w:rFonts w:hint="eastAsia" w:asciiTheme="minorEastAsia" w:hAnsiTheme="minorEastAsia" w:eastAsiaTheme="minorEastAsia" w:cstheme="minorEastAsia"/>
          <w:b/>
          <w:bCs/>
          <w:sz w:val="32"/>
          <w:szCs w:val="32"/>
          <w:lang w:val="en-US" w:eastAsia="zh-CN"/>
        </w:rPr>
        <w:t>与市场沟通和进行预期管理的平台</w:t>
      </w:r>
      <w:r>
        <w:rPr>
          <w:rFonts w:hint="eastAsia" w:asciiTheme="minorEastAsia" w:hAnsiTheme="minorEastAsia" w:eastAsiaTheme="minorEastAsia" w:cstheme="minorEastAsia"/>
          <w:sz w:val="32"/>
          <w:szCs w:val="32"/>
          <w:lang w:val="en-US" w:eastAsia="zh-CN"/>
        </w:rPr>
        <w:t>。</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2010年，时任美联储主席的伯南克，通过年会演讲暗示了进一步宽松货币的可能。</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当时，美国经济正从2009年的衰退中缓慢复苏，伯南克在讲话中提到，美联储有“政策选择来提供额外的刺激”，这为市场带来了新的预期。几个月后，他宣布了新一轮债券购买计划，即第二轮量化宽松，通过购买长期国债来压低利率，由此为金融海啸后的经济复苏注入了动力。</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2012年，他又在年会上发表了对劳动力市场停滞的担忧，指出这一个“严重的问题”。虽然他的演讲导致市场出现了下跌，但华尔街随即理解了他的意思，市场反弹开始；不久之后，美联储果然推出了第三轮的量化宽松。</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Calibri" w:hAnsi="Calibri" w:cs="Calibri"/>
          <w:sz w:val="32"/>
          <w:szCs w:val="32"/>
          <w:lang w:val="en-US" w:eastAsia="zh-CN"/>
        </w:rPr>
      </w:pPr>
      <w:r>
        <w:rPr>
          <w:sz w:val="32"/>
          <w:szCs w:val="32"/>
        </w:rPr>
        <w:drawing>
          <wp:anchor distT="0" distB="0" distL="114300" distR="114300" simplePos="0" relativeHeight="251667456" behindDoc="0" locked="0" layoutInCell="1" allowOverlap="1">
            <wp:simplePos x="0" y="0"/>
            <wp:positionH relativeFrom="column">
              <wp:posOffset>3183255</wp:posOffset>
            </wp:positionH>
            <wp:positionV relativeFrom="paragraph">
              <wp:posOffset>432435</wp:posOffset>
            </wp:positionV>
            <wp:extent cx="2290445" cy="1694815"/>
            <wp:effectExtent l="0" t="0" r="14605" b="635"/>
            <wp:wrapSquare wrapText="bothSides"/>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1"/>
                    </pic:cNvPicPr>
                  </pic:nvPicPr>
                  <pic:blipFill>
                    <a:blip r:embed="rId15"/>
                    <a:stretch>
                      <a:fillRect/>
                    </a:stretch>
                  </pic:blipFill>
                  <pic:spPr>
                    <a:xfrm>
                      <a:off x="0" y="0"/>
                      <a:ext cx="2290445" cy="1694815"/>
                    </a:xfrm>
                    <a:prstGeom prst="rect">
                      <a:avLst/>
                    </a:prstGeom>
                    <a:noFill/>
                    <a:ln>
                      <a:noFill/>
                    </a:ln>
                  </pic:spPr>
                </pic:pic>
              </a:graphicData>
            </a:graphic>
          </wp:anchor>
        </w:drawing>
      </w:r>
      <w:r>
        <w:rPr>
          <w:rFonts w:hint="eastAsia" w:asciiTheme="minorEastAsia" w:hAnsiTheme="minorEastAsia" w:eastAsiaTheme="minorEastAsia" w:cstheme="minorEastAsia"/>
          <w:sz w:val="32"/>
          <w:szCs w:val="32"/>
          <w:lang w:val="en-US" w:eastAsia="zh-CN"/>
        </w:rPr>
        <w:t>2022年，伯南克荣获诺贝尔经济学奖，表彰他的研究工作为央行实施干预提供了坚实的理论基础，并对2008-2009年金融危机期间的经济政策起到了关键作用。</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2016年，时任美联储主席的耶伦，在年会表示，她认为“提高联邦基金利率的理由有所加强”，这为市场预示了即将到来的加息周期。果然，2016年12月，美联储开始了新一轮加息，直到2018年。</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由此可见，通过杰克逊霍尔年会这一平台，美联储能够在全球经济背景下调整政策，通过反复推敲的言论，发布信号影响市场的预期。市场对这些信号的解读，不仅能反映出当时的经济状况，也能影响未来数月甚至数年的经济走势。</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年会结束后，美联储随即将召开9月议息会议。通过年会放风并观察市场的反应，能减少政策的不确定性，有利于在9月会议上作出重大决策（如政策转向）。在面对复杂经济环境时，如何有效地调整政策，同时减少市场不必要的波动，是所有央行追求的目标。杰克逊霍尔年会对美联储功不可没。</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受周五鲍威尔演讲影响，降息预期进一点强化，从而美元指数走低，盘中失守101关口，创年内新低，最终收于100.6824（见图）。受美元指数和美债收益率走低影响，黄金价格进一步上涨，伦敦金现货价格收于2512.010。</w:t>
      </w:r>
    </w:p>
    <w:p>
      <w:pPr>
        <w:jc w:val="center"/>
        <w:rPr>
          <w:rFonts w:hint="default" w:ascii="Calibri" w:hAnsi="Calibri" w:eastAsia="仿宋_GB2312" w:cs="Calibri"/>
          <w:sz w:val="21"/>
          <w:szCs w:val="21"/>
          <w:lang w:eastAsia="zh-CN"/>
        </w:rPr>
      </w:pPr>
      <w:r>
        <w:rPr>
          <w:sz w:val="21"/>
          <w:szCs w:val="21"/>
        </w:rPr>
        <w:drawing>
          <wp:anchor distT="0" distB="0" distL="114300" distR="114300" simplePos="0" relativeHeight="251668480" behindDoc="0" locked="0" layoutInCell="1" allowOverlap="1">
            <wp:simplePos x="0" y="0"/>
            <wp:positionH relativeFrom="column">
              <wp:posOffset>818515</wp:posOffset>
            </wp:positionH>
            <wp:positionV relativeFrom="paragraph">
              <wp:posOffset>42545</wp:posOffset>
            </wp:positionV>
            <wp:extent cx="3444875" cy="1924685"/>
            <wp:effectExtent l="0" t="0" r="3175" b="18415"/>
            <wp:wrapTopAndBottom/>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pic:cNvPicPr>
                  </pic:nvPicPr>
                  <pic:blipFill>
                    <a:blip r:embed="rId16"/>
                    <a:stretch>
                      <a:fillRect/>
                    </a:stretch>
                  </pic:blipFill>
                  <pic:spPr>
                    <a:xfrm>
                      <a:off x="0" y="0"/>
                      <a:ext cx="3444875" cy="1924685"/>
                    </a:xfrm>
                    <a:prstGeom prst="rect">
                      <a:avLst/>
                    </a:prstGeom>
                    <a:noFill/>
                    <a:ln>
                      <a:noFill/>
                    </a:ln>
                  </pic:spPr>
                </pic:pic>
              </a:graphicData>
            </a:graphic>
          </wp:anchor>
        </w:drawing>
      </w:r>
      <w:r>
        <w:rPr>
          <w:rFonts w:hint="default" w:ascii="Calibri" w:hAnsi="Calibri" w:eastAsia="仿宋_GB2312" w:cs="Calibri"/>
          <w:sz w:val="21"/>
          <w:szCs w:val="21"/>
          <w:lang w:eastAsia="zh-CN"/>
        </w:rPr>
        <w:t>（图：美元指数周</w:t>
      </w:r>
      <w:r>
        <w:rPr>
          <w:rFonts w:hint="default" w:ascii="Calibri" w:hAnsi="Calibri" w:eastAsia="仿宋_GB2312" w:cs="Calibri"/>
          <w:sz w:val="21"/>
          <w:szCs w:val="21"/>
          <w:lang w:val="en-US" w:eastAsia="zh-CN"/>
        </w:rPr>
        <w:t>K线</w:t>
      </w:r>
      <w:r>
        <w:rPr>
          <w:rFonts w:hint="default" w:ascii="Calibri" w:hAnsi="Calibri" w:eastAsia="仿宋_GB2312" w:cs="Calibri"/>
          <w:sz w:val="21"/>
          <w:szCs w:val="21"/>
          <w:lang w:eastAsia="zh-CN"/>
        </w:rPr>
        <w:t>）</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lang w:eastAsia="zh-CN"/>
        </w:rPr>
      </w:pPr>
      <w:r>
        <w:rPr>
          <w:rFonts w:hint="eastAsia"/>
          <w:sz w:val="32"/>
          <w:szCs w:val="32"/>
          <w:lang w:eastAsia="zh-CN"/>
        </w:rPr>
        <w:t>风行有声，市场随风而动。</w:t>
      </w:r>
    </w:p>
    <w:p>
      <w:pPr>
        <w:rPr>
          <w:rFonts w:hint="eastAsia" w:ascii="方正小标宋_GBK" w:hAnsi="方正小标宋_GBK" w:eastAsia="方正小标宋_GBK" w:cs="方正小标宋_GBK"/>
          <w:b/>
          <w:bCs/>
          <w:color w:val="0000FF"/>
          <w:sz w:val="32"/>
          <w:szCs w:val="32"/>
          <w:highlight w:val="yellow"/>
          <w:lang w:val="en-US" w:eastAsia="zh-CN"/>
        </w:rPr>
      </w:pPr>
    </w:p>
    <w:p>
      <w:pPr>
        <w:rPr>
          <w:rFonts w:hint="default" w:ascii="Calibri" w:hAnsi="Calibri" w:eastAsia="宋体" w:cs="Calibri"/>
          <w:b/>
          <w:bCs/>
          <w:color w:val="0000FF"/>
          <w:highlight w:val="yellow"/>
          <w:lang w:val="en-US" w:eastAsia="zh-CN"/>
        </w:rPr>
      </w:pPr>
      <w:r>
        <w:rPr>
          <w:rFonts w:hint="eastAsia" w:ascii="方正小标宋_GBK" w:hAnsi="方正小标宋_GBK" w:eastAsia="方正小标宋_GBK" w:cs="方正小标宋_GBK"/>
          <w:b/>
          <w:bCs/>
          <w:color w:val="0000FF"/>
          <w:sz w:val="32"/>
          <w:szCs w:val="32"/>
          <w:highlight w:val="yellow"/>
          <w:lang w:val="en-US" w:eastAsia="zh-CN"/>
        </w:rPr>
        <w:t>8月24日（周六）</w:t>
      </w:r>
    </w:p>
    <w:p>
      <w:pPr>
        <w:jc w:val="center"/>
        <w:rPr>
          <w:rFonts w:hint="default" w:ascii="Calibri" w:hAnsi="Calibri" w:eastAsia="宋体" w:cs="Calibri"/>
          <w:b/>
          <w:bCs/>
          <w:color w:val="0000FF"/>
          <w:highlight w:val="yellow"/>
          <w:lang w:val="en-US" w:eastAsia="zh-CN"/>
        </w:rPr>
      </w:pPr>
      <w:r>
        <w:rPr>
          <w:rFonts w:hint="eastAsia" w:ascii="方正小标宋_GBK" w:hAnsi="方正小标宋_GBK" w:eastAsia="方正小标宋_GBK" w:cs="方正小标宋_GBK"/>
          <w:b/>
          <w:bCs/>
          <w:color w:val="0000FF"/>
          <w:sz w:val="36"/>
          <w:szCs w:val="36"/>
          <w:highlight w:val="yellow"/>
          <w:lang w:val="en-US" w:eastAsia="zh-CN"/>
        </w:rPr>
        <w:t>欧盟经济面临的挑战，欧洲股市的定价与走势</w:t>
      </w:r>
    </w:p>
    <w:p>
      <w:pPr>
        <w:keepNext w:val="0"/>
        <w:keepLines w:val="0"/>
        <w:pageBreakBefore w:val="0"/>
        <w:widowControl w:val="0"/>
        <w:kinsoku/>
        <w:wordWrap/>
        <w:overflowPunct/>
        <w:topLinePunct w:val="0"/>
        <w:autoSpaceDE/>
        <w:autoSpaceDN/>
        <w:bidi w:val="0"/>
        <w:adjustRightInd/>
        <w:snapToGrid/>
        <w:ind w:left="0" w:leftChars="0"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当经济连续两个季度萎缩，即GDP季度环比两次为负值时，通常认为该经济体陷入了衰退。8月14日公布的数据显示，今年第二季度，欧盟经济环比增长了0.3%。虽然按照美国的标准，这并不值一提（见图），但在经历了一年多的停滞之后，增长总是好事，让欧盟官员们长松了一口气。</w:t>
      </w:r>
    </w:p>
    <w:p>
      <w:pPr>
        <w:keepNext w:val="0"/>
        <w:keepLines w:val="0"/>
        <w:pageBreakBefore w:val="0"/>
        <w:widowControl w:val="0"/>
        <w:kinsoku/>
        <w:wordWrap/>
        <w:overflowPunct/>
        <w:topLinePunct w:val="0"/>
        <w:autoSpaceDE/>
        <w:autoSpaceDN/>
        <w:bidi w:val="0"/>
        <w:adjustRightInd/>
        <w:snapToGrid/>
        <w:ind w:firstLine="388" w:firstLineChars="200"/>
        <w:jc w:val="both"/>
        <w:textAlignment w:val="auto"/>
        <w:outlineLvl w:val="9"/>
        <w:rPr>
          <w:rFonts w:hint="eastAsia" w:asciiTheme="minorEastAsia" w:hAnsiTheme="minorEastAsia" w:eastAsiaTheme="minorEastAsia" w:cstheme="minorEastAsia"/>
          <w:sz w:val="32"/>
          <w:szCs w:val="32"/>
          <w:lang w:val="en-US" w:eastAsia="zh-CN"/>
        </w:rPr>
      </w:pPr>
      <w:r>
        <w:drawing>
          <wp:anchor distT="0" distB="0" distL="114300" distR="114300" simplePos="0" relativeHeight="251669504" behindDoc="0" locked="0" layoutInCell="1" allowOverlap="1">
            <wp:simplePos x="0" y="0"/>
            <wp:positionH relativeFrom="column">
              <wp:posOffset>90170</wp:posOffset>
            </wp:positionH>
            <wp:positionV relativeFrom="paragraph">
              <wp:posOffset>106045</wp:posOffset>
            </wp:positionV>
            <wp:extent cx="2915920" cy="2036445"/>
            <wp:effectExtent l="0" t="0" r="17780" b="1905"/>
            <wp:wrapSquare wrapText="bothSides"/>
            <wp:docPr id="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pic:cNvPicPr>
                      <a:picLocks noChangeAspect="1"/>
                    </pic:cNvPicPr>
                  </pic:nvPicPr>
                  <pic:blipFill>
                    <a:blip r:embed="rId17"/>
                    <a:stretch>
                      <a:fillRect/>
                    </a:stretch>
                  </pic:blipFill>
                  <pic:spPr>
                    <a:xfrm>
                      <a:off x="0" y="0"/>
                      <a:ext cx="2915920" cy="2036445"/>
                    </a:xfrm>
                    <a:prstGeom prst="rect">
                      <a:avLst/>
                    </a:prstGeom>
                    <a:noFill/>
                    <a:ln>
                      <a:noFill/>
                    </a:ln>
                  </pic:spPr>
                </pic:pic>
              </a:graphicData>
            </a:graphic>
          </wp:anchor>
        </w:drawing>
      </w:r>
      <w:r>
        <w:rPr>
          <w:rFonts w:hint="eastAsia" w:asciiTheme="minorEastAsia" w:hAnsiTheme="minorEastAsia" w:eastAsiaTheme="minorEastAsia" w:cstheme="minorEastAsia"/>
          <w:sz w:val="32"/>
          <w:szCs w:val="32"/>
          <w:lang w:val="en-US" w:eastAsia="zh-CN"/>
        </w:rPr>
        <w:t>此外，就业也正在增长，尽管速度</w:t>
      </w:r>
      <w:r>
        <w:rPr>
          <w:rFonts w:hint="eastAsia" w:asciiTheme="minorEastAsia" w:hAnsiTheme="minorEastAsia" w:eastAsiaTheme="minorEastAsia" w:cstheme="minorEastAsia"/>
          <w:sz w:val="32"/>
          <w:szCs w:val="32"/>
          <w:highlight w:val="none"/>
          <w:lang w:val="en-US" w:eastAsia="zh-CN"/>
        </w:rPr>
        <w:t>比较缓慢</w:t>
      </w:r>
      <w:r>
        <w:rPr>
          <w:rFonts w:hint="eastAsia" w:asciiTheme="minorEastAsia" w:hAnsiTheme="minorEastAsia" w:eastAsiaTheme="minorEastAsia" w:cstheme="minorEastAsia"/>
          <w:sz w:val="32"/>
          <w:szCs w:val="32"/>
          <w:lang w:val="en-US" w:eastAsia="zh-CN"/>
        </w:rPr>
        <w:t>。工资增长也超过了通胀率，意味着生活水平的提高。荷兰就业市场的数据显示，其7月份集中协商的工资增长了7%，达到该国通胀率的2倍。德国工会谈判的工资增长也同样醒目。</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尽管如此，欧洲央行（ECB）仍然有足够的信心在6月份降息，预计9月份还会再次降息。这说明，当地工资的增长并不充分，不足以推高价格水平。</w:t>
      </w:r>
    </w:p>
    <w:p>
      <w:pPr>
        <w:keepNext w:val="0"/>
        <w:keepLines w:val="0"/>
        <w:pageBreakBefore w:val="0"/>
        <w:widowControl w:val="0"/>
        <w:kinsoku/>
        <w:wordWrap/>
        <w:overflowPunct/>
        <w:topLinePunct w:val="0"/>
        <w:autoSpaceDE/>
        <w:autoSpaceDN/>
        <w:bidi w:val="0"/>
        <w:adjustRightInd/>
        <w:snapToGrid/>
        <w:ind w:left="0" w:leftChars="0" w:firstLine="608" w:firstLineChars="200"/>
        <w:jc w:val="both"/>
        <w:textAlignment w:val="auto"/>
        <w:outlineLvl w:val="9"/>
        <w:rPr>
          <w:rFonts w:hint="eastAsia" w:asciiTheme="minorEastAsia" w:hAnsiTheme="minorEastAsia" w:eastAsiaTheme="minorEastAsia" w:cstheme="minorEastAsia"/>
          <w:b/>
          <w:bCs/>
          <w:sz w:val="32"/>
          <w:szCs w:val="32"/>
          <w:lang w:eastAsia="zh-CN"/>
        </w:rPr>
      </w:pPr>
      <w:r>
        <w:rPr>
          <w:rFonts w:hint="eastAsia" w:asciiTheme="minorEastAsia" w:hAnsiTheme="minorEastAsia" w:eastAsiaTheme="minorEastAsia" w:cstheme="minorEastAsia"/>
          <w:b/>
          <w:bCs/>
          <w:sz w:val="32"/>
          <w:szCs w:val="32"/>
        </w:rPr>
        <w:t>欧洲</w:t>
      </w:r>
      <w:r>
        <w:rPr>
          <w:rFonts w:hint="eastAsia" w:asciiTheme="minorEastAsia" w:hAnsiTheme="minorEastAsia" w:eastAsiaTheme="minorEastAsia" w:cstheme="minorEastAsia"/>
          <w:b/>
          <w:bCs/>
          <w:sz w:val="32"/>
          <w:szCs w:val="32"/>
          <w:lang w:eastAsia="zh-CN"/>
        </w:rPr>
        <w:t>经济正</w:t>
      </w:r>
      <w:r>
        <w:rPr>
          <w:rFonts w:hint="eastAsia" w:asciiTheme="minorEastAsia" w:hAnsiTheme="minorEastAsia" w:eastAsiaTheme="minorEastAsia" w:cstheme="minorEastAsia"/>
          <w:b/>
          <w:bCs/>
          <w:sz w:val="32"/>
          <w:szCs w:val="32"/>
        </w:rPr>
        <w:t>面临着一系列</w:t>
      </w:r>
      <w:r>
        <w:rPr>
          <w:rFonts w:hint="eastAsia" w:asciiTheme="minorEastAsia" w:hAnsiTheme="minorEastAsia" w:eastAsiaTheme="minorEastAsia" w:cstheme="minorEastAsia"/>
          <w:b/>
          <w:bCs/>
          <w:sz w:val="32"/>
          <w:szCs w:val="32"/>
          <w:lang w:eastAsia="zh-CN"/>
        </w:rPr>
        <w:t>挑战</w:t>
      </w:r>
      <w:r>
        <w:rPr>
          <w:rFonts w:hint="eastAsia" w:asciiTheme="minorEastAsia" w:hAnsiTheme="minorEastAsia" w:eastAsiaTheme="minorEastAsia" w:cstheme="minorEastAsia"/>
          <w:b/>
          <w:bCs/>
          <w:sz w:val="32"/>
          <w:szCs w:val="32"/>
        </w:rPr>
        <w:t>，其中任何一个</w:t>
      </w:r>
      <w:r>
        <w:rPr>
          <w:rFonts w:hint="eastAsia" w:asciiTheme="minorEastAsia" w:hAnsiTheme="minorEastAsia" w:eastAsiaTheme="minorEastAsia" w:cstheme="minorEastAsia"/>
          <w:b/>
          <w:bCs/>
          <w:sz w:val="32"/>
          <w:szCs w:val="32"/>
          <w:lang w:eastAsia="zh-CN"/>
        </w:rPr>
        <w:t>都不易应对</w:t>
      </w:r>
      <w:r>
        <w:rPr>
          <w:rFonts w:hint="eastAsia" w:asciiTheme="minorEastAsia" w:hAnsiTheme="minorEastAsia" w:eastAsiaTheme="minorEastAsia" w:cstheme="minorEastAsia"/>
          <w:b/>
          <w:bCs/>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eastAsia="zh-CN"/>
        </w:rPr>
        <w:t>以行业为例说明。</w:t>
      </w:r>
      <w:r>
        <w:rPr>
          <w:rFonts w:hint="eastAsia" w:asciiTheme="minorEastAsia" w:hAnsiTheme="minorEastAsia" w:eastAsiaTheme="minorEastAsia" w:cstheme="minorEastAsia"/>
          <w:sz w:val="32"/>
          <w:szCs w:val="32"/>
          <w:lang w:val="en-US" w:eastAsia="zh-CN"/>
        </w:rPr>
        <w:t>欧洲的建筑业正陷入困境。利率居高不下，导致新项目融资成本高昂。实际工资虽然在增长，但却比过去低，这使得购房者变得更精打细算。供应链中断的情况虽有所缓解，但建筑成本却比以前更高。在家办公的兴起，也抑制了对新办公楼的需求。</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本周二公布的欧盟6月份建筑业产出数据，显示出该行业的低迷，在</w:t>
      </w:r>
      <w:r>
        <w:rPr>
          <w:rFonts w:hint="eastAsia" w:asciiTheme="minorEastAsia" w:hAnsiTheme="minorEastAsia" w:eastAsiaTheme="minorEastAsia" w:cstheme="minorEastAsia"/>
          <w:sz w:val="32"/>
          <w:szCs w:val="32"/>
          <w:highlight w:val="none"/>
          <w:lang w:val="en-US" w:eastAsia="zh-CN"/>
        </w:rPr>
        <w:t>低基数</w:t>
      </w:r>
      <w:r>
        <w:rPr>
          <w:rFonts w:hint="eastAsia" w:asciiTheme="minorEastAsia" w:hAnsiTheme="minorEastAsia" w:eastAsiaTheme="minorEastAsia" w:cstheme="minorEastAsia"/>
          <w:sz w:val="32"/>
          <w:szCs w:val="32"/>
          <w:lang w:val="en-US" w:eastAsia="zh-CN"/>
        </w:rPr>
        <w:t>的前提下，同比仅增长1%，环比仅1.7%。</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Calibri" w:hAnsi="Calibri" w:eastAsia="宋体" w:cs="Calibri"/>
          <w:lang w:val="en-US" w:eastAsia="zh-CN"/>
        </w:rPr>
      </w:pPr>
      <w:r>
        <w:rPr>
          <w:rFonts w:hint="eastAsia" w:asciiTheme="minorEastAsia" w:hAnsiTheme="minorEastAsia" w:eastAsiaTheme="minorEastAsia" w:cstheme="minorEastAsia"/>
          <w:sz w:val="32"/>
          <w:szCs w:val="32"/>
          <w:lang w:val="en-US" w:eastAsia="zh-CN"/>
        </w:rPr>
        <w:t>自2023年初以来，该行业一直在持续下滑。最近的调查显示，新订单正在减少，该行业正在裁员。尽管德国等国的房价有所反弹，但企业和家庭对未来的增长持消极态度。目前实际工资上升、利率下降，但要提振建筑业仍需要时间。对欧洲建筑商们而言，经济可能正在恢复增长，但增长速度非常缓慢，本行业感觉到的压力未见减轻。</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收入增长本应促进消费，但因对前景担忧，</w:t>
      </w:r>
      <w:r>
        <w:rPr>
          <w:rFonts w:hint="eastAsia" w:asciiTheme="minorEastAsia" w:hAnsiTheme="minorEastAsia" w:eastAsiaTheme="minorEastAsia" w:cstheme="minorEastAsia"/>
          <w:b/>
          <w:bCs/>
          <w:sz w:val="32"/>
          <w:szCs w:val="32"/>
          <w:lang w:val="en-US" w:eastAsia="zh-CN"/>
        </w:rPr>
        <w:t>家庭将加薪带来的额外收入存入了储蓄账户</w:t>
      </w:r>
      <w:r>
        <w:rPr>
          <w:rFonts w:hint="eastAsia" w:asciiTheme="minorEastAsia" w:hAnsiTheme="minorEastAsia" w:eastAsiaTheme="minorEastAsia" w:cstheme="minorEastAsia"/>
          <w:sz w:val="32"/>
          <w:szCs w:val="32"/>
          <w:lang w:val="en-US" w:eastAsia="zh-CN"/>
        </w:rPr>
        <w:t>。随着时间的推移，劳动力市场的降温可能会进一步降低家庭的消费欲望。德意志银行的经济学家指出：“实际上，我们还没有看到国内需求出现任何有意义的回升。”就业市场的研究机构指出，服务业的招聘已经减弱，而服务业是近年来就业的主要来源。因此，未来的消费支出增长有限。</w:t>
      </w:r>
    </w:p>
    <w:p>
      <w:pPr>
        <w:keepNext w:val="0"/>
        <w:keepLines w:val="0"/>
        <w:pageBreakBefore w:val="0"/>
        <w:widowControl w:val="0"/>
        <w:kinsoku/>
        <w:wordWrap/>
        <w:overflowPunct/>
        <w:topLinePunct w:val="0"/>
        <w:autoSpaceDE/>
        <w:autoSpaceDN/>
        <w:bidi w:val="0"/>
        <w:adjustRightInd/>
        <w:snapToGrid/>
        <w:ind w:left="0" w:leftChars="0" w:firstLine="608" w:firstLineChars="200"/>
        <w:jc w:val="both"/>
        <w:textAlignment w:val="auto"/>
        <w:outlineLvl w:val="9"/>
        <w:rPr>
          <w:rFonts w:hint="eastAsia" w:asciiTheme="minorEastAsia" w:hAnsiTheme="minorEastAsia" w:eastAsiaTheme="minorEastAsia" w:cstheme="minorEastAsia"/>
          <w:b/>
          <w:bCs/>
          <w:sz w:val="32"/>
          <w:szCs w:val="32"/>
          <w:lang w:val="en-US" w:eastAsia="zh-CN"/>
        </w:rPr>
      </w:pPr>
      <w:r>
        <w:rPr>
          <w:rFonts w:hint="eastAsia" w:asciiTheme="minorEastAsia" w:hAnsiTheme="minorEastAsia" w:eastAsiaTheme="minorEastAsia" w:cstheme="minorEastAsia"/>
          <w:b/>
          <w:bCs/>
          <w:sz w:val="32"/>
          <w:szCs w:val="32"/>
          <w:lang w:val="en-US" w:eastAsia="zh-CN"/>
        </w:rPr>
        <w:t>欧洲各国政府也不太可能像美国那样，通过财政的额外支出来支撑国内总需求。</w:t>
      </w:r>
    </w:p>
    <w:p>
      <w:pPr>
        <w:keepNext w:val="0"/>
        <w:keepLines w:val="0"/>
        <w:pageBreakBefore w:val="0"/>
        <w:widowControl w:val="0"/>
        <w:kinsoku/>
        <w:wordWrap/>
        <w:overflowPunct/>
        <w:topLinePunct w:val="0"/>
        <w:autoSpaceDE/>
        <w:autoSpaceDN/>
        <w:bidi w:val="0"/>
        <w:adjustRightInd/>
        <w:snapToGrid/>
        <w:ind w:left="0" w:leftChars="0"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德国联邦政府打算扩大财政支出，但在平衡预算规则的法律细节方面遇到了困难，基本无法推进。与议会的磋商仍在进行，但结果很可能不是增加，而是削减开支。与此同时，法国和意大利都进入了“过度赤字程序”，这是欧盟委员会对最严重违反财政准则的国家实施的一种程序，主要是为了监督和纠正成员国的财政赤字偏差。</w:t>
      </w:r>
    </w:p>
    <w:p>
      <w:pPr>
        <w:keepNext w:val="0"/>
        <w:keepLines w:val="0"/>
        <w:pageBreakBefore w:val="0"/>
        <w:widowControl w:val="0"/>
        <w:kinsoku/>
        <w:wordWrap/>
        <w:overflowPunct/>
        <w:topLinePunct w:val="0"/>
        <w:autoSpaceDE/>
        <w:autoSpaceDN/>
        <w:bidi w:val="0"/>
        <w:adjustRightInd/>
        <w:snapToGrid/>
        <w:ind w:left="0" w:leftChars="0"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欧盟对成员国的财政状况有一定的要求，要求其财政赤字和公共债务保持在一定的限额内，以确保经济稳定和财政的可持续性。如果某个成员国的财政赤字超过了规定的限额（GDP的3%），或公共债务超过了60%的GDP，这时就会启动“过度赤字程序”。</w:t>
      </w:r>
    </w:p>
    <w:p>
      <w:pPr>
        <w:keepNext w:val="0"/>
        <w:keepLines w:val="0"/>
        <w:pageBreakBefore w:val="0"/>
        <w:widowControl w:val="0"/>
        <w:kinsoku/>
        <w:wordWrap/>
        <w:overflowPunct/>
        <w:topLinePunct w:val="0"/>
        <w:autoSpaceDE/>
        <w:autoSpaceDN/>
        <w:bidi w:val="0"/>
        <w:adjustRightInd/>
        <w:snapToGrid/>
        <w:ind w:left="0" w:leftChars="0"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该程序的第一步，是欧盟委员会对该国的财政状况进行详细评估，包括赤字和债务水平的原因、发展趋势以及采取的措施等。之后，基于评估结果，委员会会向该国提出建议，要求其采取必要的措施来减少赤字或债务水平，以符合欧盟的规定。最后，该国需要根据委员会的建议制定并实施相应的财政政策，以减少赤字或债务水平，并在一定期限内达到欧盟规定的要求。</w:t>
      </w:r>
    </w:p>
    <w:p>
      <w:pPr>
        <w:keepNext w:val="0"/>
        <w:keepLines w:val="0"/>
        <w:pageBreakBefore w:val="0"/>
        <w:widowControl w:val="0"/>
        <w:kinsoku/>
        <w:wordWrap/>
        <w:overflowPunct/>
        <w:topLinePunct w:val="0"/>
        <w:autoSpaceDE/>
        <w:autoSpaceDN/>
        <w:bidi w:val="0"/>
        <w:adjustRightInd/>
        <w:snapToGrid/>
        <w:ind w:left="0" w:leftChars="0"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因此，法国和意大利大概率无法实施过于积极的财政政策，换言之，</w:t>
      </w:r>
      <w:r>
        <w:rPr>
          <w:rFonts w:hint="eastAsia" w:asciiTheme="minorEastAsia" w:hAnsiTheme="minorEastAsia" w:eastAsiaTheme="minorEastAsia" w:cstheme="minorEastAsia"/>
          <w:b/>
          <w:bCs/>
          <w:sz w:val="32"/>
          <w:szCs w:val="32"/>
          <w:lang w:val="en-US" w:eastAsia="zh-CN"/>
        </w:rPr>
        <w:t>欧盟各大经济体的财政政策都将会面临紧缩，在未来几年反而将成为经济增长的拖累</w:t>
      </w:r>
      <w:r>
        <w:rPr>
          <w:rFonts w:hint="eastAsia" w:asciiTheme="minorEastAsia" w:hAnsiTheme="minorEastAsia" w:eastAsiaTheme="minorEastAsia" w:cstheme="minorEastAsia"/>
          <w:sz w:val="32"/>
          <w:szCs w:val="32"/>
          <w:lang w:val="en-US" w:eastAsia="zh-CN"/>
        </w:rPr>
        <w:t>。</w:t>
      </w:r>
    </w:p>
    <w:p>
      <w:pPr>
        <w:keepNext w:val="0"/>
        <w:keepLines w:val="0"/>
        <w:pageBreakBefore w:val="0"/>
        <w:widowControl w:val="0"/>
        <w:kinsoku/>
        <w:wordWrap/>
        <w:overflowPunct/>
        <w:topLinePunct w:val="0"/>
        <w:autoSpaceDE/>
        <w:autoSpaceDN/>
        <w:bidi w:val="0"/>
        <w:adjustRightInd/>
        <w:snapToGrid/>
        <w:ind w:left="0" w:leftChars="0" w:firstLine="608" w:firstLineChars="200"/>
        <w:jc w:val="both"/>
        <w:textAlignment w:val="auto"/>
        <w:rPr>
          <w:rFonts w:hint="default" w:ascii="Calibri" w:hAnsi="Calibri" w:eastAsia="宋体" w:cs="Calibri"/>
          <w:lang w:val="en-US" w:eastAsia="zh-CN"/>
        </w:rPr>
      </w:pPr>
      <w:r>
        <w:rPr>
          <w:rFonts w:hint="eastAsia" w:asciiTheme="minorEastAsia" w:hAnsiTheme="minorEastAsia" w:eastAsiaTheme="minorEastAsia" w:cstheme="minorEastAsia"/>
          <w:sz w:val="32"/>
          <w:szCs w:val="32"/>
        </w:rPr>
        <w:drawing>
          <wp:anchor distT="0" distB="0" distL="114300" distR="114300" simplePos="0" relativeHeight="251670528" behindDoc="0" locked="0" layoutInCell="1" allowOverlap="1">
            <wp:simplePos x="0" y="0"/>
            <wp:positionH relativeFrom="column">
              <wp:posOffset>2456815</wp:posOffset>
            </wp:positionH>
            <wp:positionV relativeFrom="paragraph">
              <wp:posOffset>516890</wp:posOffset>
            </wp:positionV>
            <wp:extent cx="3002280" cy="2096135"/>
            <wp:effectExtent l="0" t="0" r="7620" b="18415"/>
            <wp:wrapSquare wrapText="bothSides"/>
            <wp:docPr id="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pic:cNvPicPr>
                      <a:picLocks noChangeAspect="1"/>
                    </pic:cNvPicPr>
                  </pic:nvPicPr>
                  <pic:blipFill>
                    <a:blip r:embed="rId18"/>
                    <a:stretch>
                      <a:fillRect/>
                    </a:stretch>
                  </pic:blipFill>
                  <pic:spPr>
                    <a:xfrm>
                      <a:off x="0" y="0"/>
                      <a:ext cx="3002280" cy="2096135"/>
                    </a:xfrm>
                    <a:prstGeom prst="rect">
                      <a:avLst/>
                    </a:prstGeom>
                    <a:noFill/>
                    <a:ln>
                      <a:noFill/>
                    </a:ln>
                  </pic:spPr>
                </pic:pic>
              </a:graphicData>
            </a:graphic>
          </wp:anchor>
        </w:drawing>
      </w:r>
      <w:r>
        <w:rPr>
          <w:rFonts w:hint="eastAsia" w:asciiTheme="minorEastAsia" w:hAnsiTheme="minorEastAsia" w:eastAsiaTheme="minorEastAsia" w:cstheme="minorEastAsia"/>
          <w:b/>
          <w:bCs/>
          <w:sz w:val="32"/>
          <w:szCs w:val="32"/>
          <w:lang w:val="en-US" w:eastAsia="zh-CN"/>
        </w:rPr>
        <w:t>欧盟官员和经济学家们都在担心德国</w:t>
      </w:r>
      <w:r>
        <w:rPr>
          <w:rFonts w:hint="eastAsia" w:asciiTheme="minorEastAsia" w:hAnsiTheme="minorEastAsia" w:eastAsiaTheme="minorEastAsia" w:cstheme="minorEastAsia"/>
          <w:sz w:val="32"/>
          <w:szCs w:val="32"/>
          <w:lang w:val="en-US" w:eastAsia="zh-CN"/>
        </w:rPr>
        <w:t>。自2019年以来，德国经济几乎没有增长，出口自2023年3月以来持续缩减（见图）。调查显示，随着海外生产的高性价比电动汽车涌入，落伍的德国工业企业现在面临着来自亚洲的更大挑战。</w:t>
      </w:r>
    </w:p>
    <w:p>
      <w:pPr>
        <w:keepNext w:val="0"/>
        <w:keepLines w:val="0"/>
        <w:pageBreakBefore w:val="0"/>
        <w:widowControl w:val="0"/>
        <w:kinsoku/>
        <w:wordWrap/>
        <w:overflowPunct/>
        <w:topLinePunct w:val="0"/>
        <w:autoSpaceDE/>
        <w:autoSpaceDN/>
        <w:bidi w:val="0"/>
        <w:adjustRightInd/>
        <w:snapToGrid/>
        <w:ind w:left="0" w:leftChars="0"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经济的长期前景也显得暗淡：在经合组织（OECD）国家中，德国是唯一退休人数超过新进就业市场人数的经济体。意味着德国的劳动力结构将会发生变化，劳动力老龄化问题将日益凸显。鉴于德国在欧洲的经济地位和重要性，德国经济问题的严重性将波及整个欧洲地区的经济增长。</w:t>
      </w:r>
    </w:p>
    <w:p>
      <w:pPr>
        <w:keepNext w:val="0"/>
        <w:keepLines w:val="0"/>
        <w:pageBreakBefore w:val="0"/>
        <w:widowControl w:val="0"/>
        <w:kinsoku/>
        <w:wordWrap/>
        <w:overflowPunct/>
        <w:topLinePunct w:val="0"/>
        <w:autoSpaceDE/>
        <w:autoSpaceDN/>
        <w:bidi w:val="0"/>
        <w:adjustRightInd/>
        <w:snapToGrid/>
        <w:ind w:left="0" w:leftChars="0"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如果国际地缘政治对抗升级，跨大西洋和跨太平洋之间的贸易战将使欧洲的经济局势进一步恶化。仅从经济数据看，欧洲目前似</w:t>
      </w:r>
      <w:r>
        <w:drawing>
          <wp:anchor distT="0" distB="0" distL="114300" distR="114300" simplePos="0" relativeHeight="251671552" behindDoc="0" locked="0" layoutInCell="1" allowOverlap="1">
            <wp:simplePos x="0" y="0"/>
            <wp:positionH relativeFrom="column">
              <wp:posOffset>370840</wp:posOffset>
            </wp:positionH>
            <wp:positionV relativeFrom="paragraph">
              <wp:posOffset>1303655</wp:posOffset>
            </wp:positionV>
            <wp:extent cx="5033645" cy="3514090"/>
            <wp:effectExtent l="0" t="0" r="14605" b="10160"/>
            <wp:wrapTopAndBottom/>
            <wp:docPr id="6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
                    <pic:cNvPicPr>
                      <a:picLocks noChangeAspect="1"/>
                    </pic:cNvPicPr>
                  </pic:nvPicPr>
                  <pic:blipFill>
                    <a:blip r:embed="rId19"/>
                    <a:stretch>
                      <a:fillRect/>
                    </a:stretch>
                  </pic:blipFill>
                  <pic:spPr>
                    <a:xfrm>
                      <a:off x="0" y="0"/>
                      <a:ext cx="5033645" cy="3514090"/>
                    </a:xfrm>
                    <a:prstGeom prst="rect">
                      <a:avLst/>
                    </a:prstGeom>
                    <a:noFill/>
                    <a:ln>
                      <a:noFill/>
                    </a:ln>
                  </pic:spPr>
                </pic:pic>
              </a:graphicData>
            </a:graphic>
          </wp:anchor>
        </w:drawing>
      </w:r>
      <w:r>
        <w:rPr>
          <w:rFonts w:hint="eastAsia" w:asciiTheme="minorEastAsia" w:hAnsiTheme="minorEastAsia" w:eastAsiaTheme="minorEastAsia" w:cstheme="minorEastAsia"/>
          <w:sz w:val="32"/>
          <w:szCs w:val="32"/>
          <w:lang w:val="en-US" w:eastAsia="zh-CN"/>
        </w:rPr>
        <w:t>乎正在实现软着陆，实际上从新冠疫情结束后其经济就没有真正腾飞过。通胀率已降至2.5%，略高于欧洲央行的目标，欧盟已连续两个季度实现增长，但欧元区的经济仍显得相当低迷。</w:t>
      </w:r>
    </w:p>
    <w:p>
      <w:pPr>
        <w:rPr>
          <w:rFonts w:hint="eastAsia" w:ascii="Calibri" w:hAnsi="Calibri" w:eastAsia="宋体" w:cs="Calibri"/>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eastAsia="zh-CN"/>
        </w:rPr>
        <w:t>（图：从数据上看，欧元区</w:t>
      </w:r>
      <w:r>
        <w:rPr>
          <w:rFonts w:hint="eastAsia" w:ascii="方正仿宋_GBK" w:hAnsi="方正仿宋_GBK" w:eastAsia="方正仿宋_GBK" w:cs="方正仿宋_GBK"/>
          <w:sz w:val="24"/>
          <w:szCs w:val="24"/>
          <w:lang w:val="en-US" w:eastAsia="zh-CN"/>
        </w:rPr>
        <w:t>GDP在增长，通胀率在增平，央行开始调降基准利率</w:t>
      </w:r>
      <w:r>
        <w:rPr>
          <w:rFonts w:hint="eastAsia" w:ascii="方正仿宋_GBK" w:hAnsi="方正仿宋_GBK" w:eastAsia="方正仿宋_GBK" w:cs="方正仿宋_GBK"/>
          <w:sz w:val="24"/>
          <w:szCs w:val="24"/>
          <w:lang w:eastAsia="zh-CN"/>
        </w:rPr>
        <w:t>）</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二季度，欧洲上市公司的利润有所增长，盈利同比增长4.3%，欧洲股市的基准指数“斯托克斯600指数”（Stoxx 600）上涨。在此之前，欧洲上市公司的盈利连续四个季度下滑。因此，二季度的成绩单令人高兴。有机构已经开始重视欧洲股市，摩根士丹利甚至表示，欧洲股市正处于“最佳点位”。</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上述乐观的观点基于两个认知。</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首先，欧洲的经济形势好转。在经历了一年的停滞后，欧盟各国第二季度的GDP环比增长0.3%，7月份的通胀率同比降至2.6%，离欧洲央行设定的2%的目标已经不远了，因此欧洲央行有信心6月份率先降息；市场预计，其9月份还会再次降息，而连续下调基准利率，无疑是利好股市的。</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其次，欧洲股票的确便宜。斯托克</w:t>
      </w:r>
      <w:r>
        <w:rPr>
          <w:rFonts w:hint="eastAsia" w:asciiTheme="minorEastAsia" w:hAnsiTheme="minorEastAsia" w:eastAsiaTheme="minorEastAsia" w:cstheme="minorEastAsia"/>
          <w:sz w:val="32"/>
          <w:szCs w:val="32"/>
          <w:highlight w:val="none"/>
          <w:lang w:val="en-US" w:eastAsia="zh-CN"/>
        </w:rPr>
        <w:t>斯</w:t>
      </w:r>
      <w:r>
        <w:rPr>
          <w:rFonts w:hint="eastAsia" w:asciiTheme="minorEastAsia" w:hAnsiTheme="minorEastAsia" w:eastAsiaTheme="minorEastAsia" w:cstheme="minorEastAsia"/>
          <w:sz w:val="32"/>
          <w:szCs w:val="32"/>
          <w:lang w:val="en-US" w:eastAsia="zh-CN"/>
        </w:rPr>
        <w:t>600指数的市盈率为15，而美国标准普尔500指数的市盈率为26。换句话说，相对于美国股票，欧洲股票打了个40%的折扣，估值便宜多了。这是从指数上看，如果用同一行业的企业对比，欧洲企业的价格仍比美国同行便宜得多。</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但奇怪的是，尽管欧洲上市公司股价估值越来越吸引人，近几个月的宏观经济的消息面也越来越好，但投资者仍不完全看好欧洲，这一点从股价走势就能看出端倪。</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如果经济确实复苏，“复苏型”一篮子股票的价格就应该上涨明显，所谓“复苏型”股票，是指在经济复苏时会受益的行业股票，如媒体和零售等消费者行业。自4月中旬以来，这类企业的股价只上涨了6%，远远低于“防御型”一篮子股票的表现，“防御型”一篮子股票，包括医疗保健和公用事业等较稳健行业的公司，其同期涨幅超过11%。</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sz w:val="32"/>
          <w:szCs w:val="32"/>
        </w:rPr>
        <w:drawing>
          <wp:anchor distT="0" distB="0" distL="114300" distR="114300" simplePos="0" relativeHeight="251672576" behindDoc="0" locked="0" layoutInCell="1" allowOverlap="1">
            <wp:simplePos x="0" y="0"/>
            <wp:positionH relativeFrom="column">
              <wp:posOffset>2908300</wp:posOffset>
            </wp:positionH>
            <wp:positionV relativeFrom="paragraph">
              <wp:posOffset>44450</wp:posOffset>
            </wp:positionV>
            <wp:extent cx="2469515" cy="1333500"/>
            <wp:effectExtent l="0" t="0" r="6985" b="0"/>
            <wp:wrapSquare wrapText="bothSides"/>
            <wp:docPr id="6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
                    <pic:cNvPicPr>
                      <a:picLocks noChangeAspect="1"/>
                    </pic:cNvPicPr>
                  </pic:nvPicPr>
                  <pic:blipFill>
                    <a:blip r:embed="rId20"/>
                    <a:stretch>
                      <a:fillRect/>
                    </a:stretch>
                  </pic:blipFill>
                  <pic:spPr>
                    <a:xfrm>
                      <a:off x="0" y="0"/>
                      <a:ext cx="2469515" cy="1333500"/>
                    </a:xfrm>
                    <a:prstGeom prst="rect">
                      <a:avLst/>
                    </a:prstGeom>
                    <a:noFill/>
                    <a:ln>
                      <a:noFill/>
                    </a:ln>
                  </pic:spPr>
                </pic:pic>
              </a:graphicData>
            </a:graphic>
          </wp:anchor>
        </w:drawing>
      </w:r>
      <w:r>
        <w:rPr>
          <w:rFonts w:hint="eastAsia" w:asciiTheme="minorEastAsia" w:hAnsiTheme="minorEastAsia" w:eastAsiaTheme="minorEastAsia" w:cstheme="minorEastAsia"/>
          <w:sz w:val="32"/>
          <w:szCs w:val="32"/>
          <w:lang w:val="en-US" w:eastAsia="zh-CN"/>
        </w:rPr>
        <w:t>这说明，尽管市场上推荐的很多，但投资经理们似乎仍对欧洲经济的看法有所保留，所以并不急于增加对欧洲经济复苏的押注。这不无道理。</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outlineLvl w:val="9"/>
        <w:rPr>
          <w:rFonts w:hint="eastAsia" w:ascii="Calibri" w:hAnsi="Calibri" w:eastAsia="宋体" w:cs="Calibri"/>
          <w:lang w:val="en-US" w:eastAsia="zh-CN"/>
        </w:rPr>
      </w:pPr>
      <w:r>
        <w:rPr>
          <w:rFonts w:hint="eastAsia" w:asciiTheme="minorEastAsia" w:hAnsiTheme="minorEastAsia" w:eastAsiaTheme="minorEastAsia" w:cstheme="minorEastAsia"/>
          <w:sz w:val="32"/>
          <w:szCs w:val="32"/>
          <w:lang w:val="en-US" w:eastAsia="zh-CN"/>
        </w:rPr>
        <w:t>欧洲的经济自新冠疫情爆发前至今也只增长了4%，而美国则增长了9%。从目前欧洲和德国经济的现状来看，如果没有某种重大突破，投资者将很难对其重新进行评估和定价。</w:t>
      </w:r>
    </w:p>
    <w:p>
      <w:pPr>
        <w:rPr>
          <w:rFonts w:hint="default" w:ascii="Calibri" w:hAnsi="Calibri" w:eastAsia="宋体" w:cs="Calibri"/>
          <w:b/>
          <w:bCs/>
          <w:color w:val="0000FF"/>
          <w:highlight w:val="yellow"/>
          <w:lang w:val="en-US" w:eastAsia="zh-CN"/>
        </w:rPr>
      </w:pPr>
    </w:p>
    <w:p>
      <w:pPr>
        <w:rPr>
          <w:rFonts w:hint="default" w:ascii="Calibri" w:hAnsi="Calibri" w:eastAsia="宋体" w:cs="Calibri"/>
          <w:b/>
          <w:bCs/>
          <w:color w:val="0000FF"/>
          <w:highlight w:val="yellow"/>
          <w:lang w:val="en-US" w:eastAsia="zh-CN"/>
        </w:rPr>
      </w:pPr>
    </w:p>
    <w:p>
      <w:pPr>
        <w:rPr>
          <w:rFonts w:hint="default" w:ascii="Calibri" w:hAnsi="Calibri" w:eastAsia="宋体" w:cs="Calibri"/>
          <w:b/>
          <w:bCs/>
          <w:color w:val="0000FF"/>
          <w:highlight w:val="yellow"/>
          <w:lang w:val="en-US" w:eastAsia="zh-CN"/>
        </w:rPr>
      </w:pPr>
      <w:r>
        <w:rPr>
          <w:rFonts w:hint="eastAsia" w:ascii="方正小标宋_GBK" w:hAnsi="方正小标宋_GBK" w:eastAsia="方正小标宋_GBK" w:cs="方正小标宋_GBK"/>
          <w:b/>
          <w:bCs/>
          <w:color w:val="0000FF"/>
          <w:sz w:val="32"/>
          <w:szCs w:val="32"/>
          <w:highlight w:val="yellow"/>
          <w:lang w:val="en-US" w:eastAsia="zh-CN"/>
        </w:rPr>
        <w:t>8月25日（周日）</w:t>
      </w:r>
    </w:p>
    <w:p>
      <w:pPr>
        <w:jc w:val="center"/>
        <w:rPr>
          <w:rFonts w:hint="eastAsia" w:ascii="方正小标宋_GBK" w:hAnsi="方正小标宋_GBK" w:eastAsia="方正小标宋_GBK" w:cs="方正小标宋_GBK"/>
          <w:b/>
          <w:bCs/>
          <w:color w:val="0000FF"/>
          <w:sz w:val="36"/>
          <w:szCs w:val="36"/>
          <w:highlight w:val="yellow"/>
          <w:lang w:val="en-US" w:eastAsia="zh-CN"/>
        </w:rPr>
      </w:pPr>
      <w:r>
        <w:rPr>
          <w:rFonts w:hint="eastAsia" w:ascii="方正小标宋_GBK" w:hAnsi="方正小标宋_GBK" w:eastAsia="方正小标宋_GBK" w:cs="方正小标宋_GBK"/>
          <w:b/>
          <w:bCs/>
          <w:color w:val="0000FF"/>
          <w:sz w:val="36"/>
          <w:szCs w:val="36"/>
          <w:highlight w:val="yellow"/>
          <w:lang w:val="en-US" w:eastAsia="zh-CN"/>
        </w:rPr>
        <w:t>气候、经济和音乐，“火人节”遇冷</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lang w:eastAsia="zh-CN"/>
        </w:rPr>
        <w:t>今天，美国“火人节”开幕。</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default" w:ascii="Calibri" w:hAnsi="Calibri" w:eastAsia="宋体" w:cs="Calibri"/>
          <w:lang w:val="en-US" w:eastAsia="zh-CN"/>
        </w:rPr>
      </w:pPr>
      <w:r>
        <w:rPr>
          <w:rFonts w:hint="eastAsia" w:asciiTheme="minorEastAsia" w:hAnsiTheme="minorEastAsia" w:eastAsiaTheme="minorEastAsia" w:cstheme="minorEastAsia"/>
          <w:sz w:val="32"/>
          <w:szCs w:val="32"/>
          <w:lang w:val="en-US" w:eastAsia="zh-CN"/>
        </w:rPr>
        <w:t>“火人节”（Burning Man）创办于1986年，举办地位于美国内华达州的沙漠之中。起初，它是一个反传统、非主流的音乐节；之后，逐渐演变为一个以流行音乐为载体的，富有嬉皮士和科技亿万富翁趋之若鹜的大型节庆活动。</w:t>
      </w:r>
    </w:p>
    <w:p>
      <w:pPr>
        <w:jc w:val="center"/>
        <w:rPr>
          <w:rFonts w:hint="eastAsia" w:ascii="仿宋_GB2312" w:hAnsi="仿宋_GB2312" w:eastAsia="仿宋_GB2312" w:cs="仿宋_GB2312"/>
          <w:lang w:eastAsia="zh-CN"/>
        </w:rPr>
      </w:pPr>
      <w:r>
        <w:rPr>
          <w:rFonts w:hint="eastAsia" w:ascii="方正仿宋_GBK" w:hAnsi="方正仿宋_GBK" w:eastAsia="方正仿宋_GBK" w:cs="方正仿宋_GBK"/>
          <w:sz w:val="24"/>
          <w:szCs w:val="24"/>
        </w:rPr>
        <w:drawing>
          <wp:anchor distT="0" distB="0" distL="114300" distR="114300" simplePos="0" relativeHeight="251673600" behindDoc="0" locked="0" layoutInCell="1" allowOverlap="1">
            <wp:simplePos x="0" y="0"/>
            <wp:positionH relativeFrom="column">
              <wp:posOffset>600075</wp:posOffset>
            </wp:positionH>
            <wp:positionV relativeFrom="paragraph">
              <wp:posOffset>4445</wp:posOffset>
            </wp:positionV>
            <wp:extent cx="3958590" cy="2639060"/>
            <wp:effectExtent l="0" t="0" r="3810" b="8890"/>
            <wp:wrapTopAndBottom/>
            <wp:docPr id="5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
                    <pic:cNvPicPr>
                      <a:picLocks noChangeAspect="1"/>
                    </pic:cNvPicPr>
                  </pic:nvPicPr>
                  <pic:blipFill>
                    <a:blip r:embed="rId21"/>
                    <a:stretch>
                      <a:fillRect/>
                    </a:stretch>
                  </pic:blipFill>
                  <pic:spPr>
                    <a:xfrm>
                      <a:off x="0" y="0"/>
                      <a:ext cx="3958590" cy="2639060"/>
                    </a:xfrm>
                    <a:prstGeom prst="rect">
                      <a:avLst/>
                    </a:prstGeom>
                    <a:noFill/>
                    <a:ln>
                      <a:noFill/>
                    </a:ln>
                  </pic:spPr>
                </pic:pic>
              </a:graphicData>
            </a:graphic>
          </wp:anchor>
        </w:drawing>
      </w:r>
      <w:r>
        <w:rPr>
          <w:rFonts w:hint="eastAsia" w:ascii="方正仿宋_GBK" w:hAnsi="方正仿宋_GBK" w:eastAsia="方正仿宋_GBK" w:cs="方正仿宋_GBK"/>
          <w:sz w:val="24"/>
          <w:szCs w:val="24"/>
          <w:lang w:eastAsia="zh-CN"/>
        </w:rPr>
        <w:t>（图：火人节中心的木制人像）</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火人节”的时长为一周，虽然是在沙漠中举办，每年的门票销售还是非常火爆。今年的“火人节”于本周日（8月25日）开幕，但门票却未售罄，这是近十几年没有发生过的情况。门票原价为575美元，但在二手市场上，售价已经打了对折，甚至更低。</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lang w:eastAsia="zh-CN"/>
        </w:rPr>
        <w:t>不仅是“火人节”，其他音乐节和节庆活动都面临遇冷境况，连“科切拉音乐节”（Coachella</w:t>
      </w:r>
      <w:r>
        <w:rPr>
          <w:rFonts w:hint="eastAsia" w:asciiTheme="minorEastAsia" w:hAnsiTheme="minorEastAsia" w:eastAsiaTheme="minorEastAsia" w:cstheme="minorEastAsia"/>
          <w:sz w:val="32"/>
          <w:szCs w:val="32"/>
          <w:lang w:val="en-US" w:eastAsia="zh-CN"/>
        </w:rPr>
        <w:t xml:space="preserve"> Festival</w:t>
      </w:r>
      <w:r>
        <w:rPr>
          <w:rFonts w:hint="eastAsia" w:asciiTheme="minorEastAsia" w:hAnsiTheme="minorEastAsia" w:eastAsiaTheme="minorEastAsia" w:cstheme="minorEastAsia"/>
          <w:sz w:val="32"/>
          <w:szCs w:val="32"/>
          <w:lang w:eastAsia="zh-CN"/>
        </w:rPr>
        <w:t>）的门票销售，都出现了困难。每年</w:t>
      </w:r>
      <w:r>
        <w:rPr>
          <w:rFonts w:hint="eastAsia" w:asciiTheme="minorEastAsia" w:hAnsiTheme="minorEastAsia" w:eastAsiaTheme="minorEastAsia" w:cstheme="minorEastAsia"/>
          <w:sz w:val="32"/>
          <w:szCs w:val="32"/>
          <w:lang w:val="en-US" w:eastAsia="zh-CN"/>
        </w:rPr>
        <w:t>4</w:t>
      </w:r>
      <w:r>
        <w:rPr>
          <w:rFonts w:hint="eastAsia" w:asciiTheme="minorEastAsia" w:hAnsiTheme="minorEastAsia" w:eastAsiaTheme="minorEastAsia" w:cstheme="minorEastAsia"/>
          <w:sz w:val="32"/>
          <w:szCs w:val="32"/>
          <w:lang w:eastAsia="zh-CN"/>
        </w:rPr>
        <w:t>月在加州举办的科切拉音乐节，</w:t>
      </w:r>
      <w:r>
        <w:rPr>
          <w:rFonts w:hint="eastAsia" w:asciiTheme="minorEastAsia" w:hAnsiTheme="minorEastAsia" w:eastAsiaTheme="minorEastAsia" w:cstheme="minorEastAsia"/>
          <w:sz w:val="32"/>
          <w:szCs w:val="32"/>
        </w:rPr>
        <w:t>是全球规模最大、最知名及盈利最高的音乐</w:t>
      </w:r>
      <w:r>
        <w:rPr>
          <w:rFonts w:hint="eastAsia" w:asciiTheme="minorEastAsia" w:hAnsiTheme="minorEastAsia" w:eastAsiaTheme="minorEastAsia" w:cstheme="minorEastAsia"/>
          <w:sz w:val="32"/>
          <w:szCs w:val="32"/>
          <w:lang w:eastAsia="zh-CN"/>
        </w:rPr>
        <w:t>节庆活动</w:t>
      </w:r>
      <w:r>
        <w:rPr>
          <w:rFonts w:hint="eastAsia" w:asciiTheme="minorEastAsia" w:hAnsiTheme="minorEastAsia" w:eastAsiaTheme="minorEastAsia" w:cstheme="minorEastAsia"/>
          <w:sz w:val="32"/>
          <w:szCs w:val="32"/>
        </w:rPr>
        <w:t>，</w:t>
      </w:r>
      <w:r>
        <w:rPr>
          <w:rFonts w:hint="eastAsia" w:asciiTheme="minorEastAsia" w:hAnsiTheme="minorEastAsia" w:eastAsiaTheme="minorEastAsia" w:cstheme="minorEastAsia"/>
          <w:sz w:val="32"/>
          <w:szCs w:val="32"/>
          <w:lang w:eastAsia="zh-CN"/>
        </w:rPr>
        <w:t>以往</w:t>
      </w:r>
      <w:r>
        <w:rPr>
          <w:rFonts w:hint="eastAsia" w:asciiTheme="minorEastAsia" w:hAnsiTheme="minorEastAsia" w:eastAsiaTheme="minorEastAsia" w:cstheme="minorEastAsia"/>
          <w:sz w:val="32"/>
          <w:szCs w:val="32"/>
        </w:rPr>
        <w:t>每</w:t>
      </w:r>
      <w:r>
        <w:rPr>
          <w:rFonts w:hint="eastAsia" w:asciiTheme="minorEastAsia" w:hAnsiTheme="minorEastAsia" w:eastAsiaTheme="minorEastAsia" w:cstheme="minorEastAsia"/>
          <w:sz w:val="32"/>
          <w:szCs w:val="32"/>
          <w:lang w:eastAsia="zh-CN"/>
        </w:rPr>
        <w:t>年都轻松</w:t>
      </w:r>
      <w:r>
        <w:rPr>
          <w:rFonts w:hint="eastAsia" w:asciiTheme="minorEastAsia" w:hAnsiTheme="minorEastAsia" w:eastAsiaTheme="minorEastAsia" w:cstheme="minorEastAsia"/>
          <w:sz w:val="32"/>
          <w:szCs w:val="32"/>
        </w:rPr>
        <w:t>卖出20</w:t>
      </w:r>
      <w:r>
        <w:rPr>
          <w:rFonts w:hint="eastAsia" w:asciiTheme="minorEastAsia" w:hAnsiTheme="minorEastAsia" w:eastAsiaTheme="minorEastAsia" w:cstheme="minorEastAsia"/>
          <w:sz w:val="32"/>
          <w:szCs w:val="32"/>
          <w:lang w:eastAsia="zh-CN"/>
        </w:rPr>
        <w:t>多</w:t>
      </w:r>
      <w:r>
        <w:rPr>
          <w:rFonts w:hint="eastAsia" w:asciiTheme="minorEastAsia" w:hAnsiTheme="minorEastAsia" w:eastAsiaTheme="minorEastAsia" w:cstheme="minorEastAsia"/>
          <w:sz w:val="32"/>
          <w:szCs w:val="32"/>
        </w:rPr>
        <w:t>万张门票。</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lang w:eastAsia="zh-CN"/>
        </w:rPr>
        <w:t>那究竟是什么原因导致音乐节遇冷呢？</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b/>
          <w:bCs/>
          <w:sz w:val="32"/>
          <w:szCs w:val="32"/>
          <w:lang w:eastAsia="zh-CN"/>
        </w:rPr>
      </w:pPr>
      <w:r>
        <w:rPr>
          <w:rFonts w:hint="eastAsia" w:asciiTheme="minorEastAsia" w:hAnsiTheme="minorEastAsia" w:eastAsiaTheme="minorEastAsia" w:cstheme="minorEastAsia"/>
          <w:b/>
          <w:bCs/>
          <w:sz w:val="32"/>
          <w:szCs w:val="32"/>
          <w:lang w:eastAsia="zh-CN"/>
        </w:rPr>
        <w:t>首先是气候因素。</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lang w:eastAsia="zh-CN"/>
        </w:rPr>
        <w:t>近年来，全球气候变暖，极端天气频现，人们对参加大型户外活动的兴趣</w:t>
      </w:r>
      <w:r>
        <w:rPr>
          <w:rFonts w:hint="eastAsia" w:asciiTheme="minorEastAsia" w:hAnsiTheme="minorEastAsia" w:eastAsiaTheme="minorEastAsia" w:cstheme="minorEastAsia"/>
          <w:sz w:val="32"/>
          <w:szCs w:val="32"/>
          <w:lang w:val="en-US" w:eastAsia="zh-CN"/>
        </w:rPr>
        <w:t>有</w:t>
      </w:r>
      <w:r>
        <w:rPr>
          <w:rFonts w:hint="eastAsia" w:asciiTheme="minorEastAsia" w:hAnsiTheme="minorEastAsia" w:eastAsiaTheme="minorEastAsia" w:cstheme="minorEastAsia"/>
          <w:sz w:val="32"/>
          <w:szCs w:val="32"/>
          <w:lang w:eastAsia="zh-CN"/>
        </w:rPr>
        <w:t>所减弱。以“火人节”为例，在沙漠中户外活动一周时间，对所有参与者来说，都是一个挑战。</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lang w:eastAsia="zh-CN"/>
        </w:rPr>
        <w:t>不仅在美国，今天夏天，全球多地遭遇了极端高温天气，一些地区甚至打破了历史高温记录。全球平均气温也创下新高，今年5月和</w:t>
      </w:r>
      <w:r>
        <w:rPr>
          <w:rFonts w:hint="eastAsia" w:asciiTheme="minorEastAsia" w:hAnsiTheme="minorEastAsia" w:eastAsiaTheme="minorEastAsia" w:cstheme="minorEastAsia"/>
          <w:sz w:val="32"/>
          <w:szCs w:val="32"/>
          <w:lang w:val="en-US" w:eastAsia="zh-CN"/>
        </w:rPr>
        <w:t>6月，是</w:t>
      </w:r>
      <w:r>
        <w:rPr>
          <w:rFonts w:hint="eastAsia" w:asciiTheme="minorEastAsia" w:hAnsiTheme="minorEastAsia" w:eastAsiaTheme="minorEastAsia" w:cstheme="minorEastAsia"/>
          <w:sz w:val="32"/>
          <w:szCs w:val="32"/>
          <w:lang w:eastAsia="zh-CN"/>
        </w:rPr>
        <w:t>自1850年有气象记录以来最热的5月和</w:t>
      </w:r>
      <w:r>
        <w:rPr>
          <w:rFonts w:hint="eastAsia" w:asciiTheme="minorEastAsia" w:hAnsiTheme="minorEastAsia" w:eastAsiaTheme="minorEastAsia" w:cstheme="minorEastAsia"/>
          <w:sz w:val="32"/>
          <w:szCs w:val="32"/>
          <w:lang w:val="en-US" w:eastAsia="zh-CN"/>
        </w:rPr>
        <w:t>6月</w:t>
      </w:r>
      <w:r>
        <w:rPr>
          <w:rFonts w:hint="eastAsia" w:asciiTheme="minorEastAsia" w:hAnsiTheme="minorEastAsia" w:eastAsiaTheme="minorEastAsia" w:cstheme="minorEastAsia"/>
          <w:sz w:val="32"/>
          <w:szCs w:val="32"/>
          <w:lang w:eastAsia="zh-CN"/>
        </w:rPr>
        <w:t>，全球平均气温比工业化前水平高出1.52摄氏度。</w:t>
      </w:r>
    </w:p>
    <w:p>
      <w:pPr>
        <w:jc w:val="center"/>
        <w:rPr>
          <w:rFonts w:hint="eastAsia" w:ascii="方正仿宋_GBK" w:hAnsi="方正仿宋_GBK" w:eastAsia="方正仿宋_GBK" w:cs="方正仿宋_GBK"/>
          <w:sz w:val="24"/>
          <w:szCs w:val="24"/>
          <w:lang w:val="en-US" w:eastAsia="zh-CN"/>
        </w:rPr>
      </w:pPr>
      <w:r>
        <w:drawing>
          <wp:anchor distT="0" distB="0" distL="114300" distR="114300" simplePos="0" relativeHeight="251674624" behindDoc="0" locked="0" layoutInCell="1" allowOverlap="1">
            <wp:simplePos x="0" y="0"/>
            <wp:positionH relativeFrom="column">
              <wp:posOffset>1098550</wp:posOffset>
            </wp:positionH>
            <wp:positionV relativeFrom="paragraph">
              <wp:posOffset>90170</wp:posOffset>
            </wp:positionV>
            <wp:extent cx="2891790" cy="1513840"/>
            <wp:effectExtent l="0" t="0" r="3810" b="10160"/>
            <wp:wrapTopAndBottom/>
            <wp:docPr id="5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6"/>
                    <pic:cNvPicPr>
                      <a:picLocks noChangeAspect="1"/>
                    </pic:cNvPicPr>
                  </pic:nvPicPr>
                  <pic:blipFill>
                    <a:blip r:embed="rId22"/>
                    <a:stretch>
                      <a:fillRect/>
                    </a:stretch>
                  </pic:blipFill>
                  <pic:spPr>
                    <a:xfrm>
                      <a:off x="0" y="0"/>
                      <a:ext cx="2891790" cy="1513840"/>
                    </a:xfrm>
                    <a:prstGeom prst="rect">
                      <a:avLst/>
                    </a:prstGeom>
                    <a:noFill/>
                    <a:ln>
                      <a:noFill/>
                    </a:ln>
                  </pic:spPr>
                </pic:pic>
              </a:graphicData>
            </a:graphic>
          </wp:anchor>
        </w:drawing>
      </w:r>
      <w:r>
        <w:rPr>
          <w:rFonts w:hint="eastAsia" w:ascii="方正仿宋_GBK" w:hAnsi="方正仿宋_GBK" w:eastAsia="方正仿宋_GBK" w:cs="方正仿宋_GBK"/>
          <w:sz w:val="24"/>
          <w:szCs w:val="24"/>
          <w:lang w:eastAsia="zh-CN"/>
        </w:rPr>
        <w:t>（图：路透社报道，</w:t>
      </w:r>
      <w:r>
        <w:rPr>
          <w:rFonts w:hint="eastAsia" w:ascii="方正仿宋_GBK" w:hAnsi="方正仿宋_GBK" w:eastAsia="方正仿宋_GBK" w:cs="方正仿宋_GBK"/>
          <w:sz w:val="24"/>
          <w:szCs w:val="24"/>
          <w:lang w:val="en-US" w:eastAsia="zh-CN"/>
        </w:rPr>
        <w:t>6</w:t>
      </w:r>
      <w:r>
        <w:rPr>
          <w:rFonts w:hint="eastAsia" w:ascii="方正仿宋_GBK" w:hAnsi="方正仿宋_GBK" w:eastAsia="方正仿宋_GBK" w:cs="方正仿宋_GBK"/>
          <w:sz w:val="24"/>
          <w:szCs w:val="24"/>
          <w:lang w:eastAsia="zh-CN"/>
        </w:rPr>
        <w:t>月已破了历史记录，2024年可能成为世界上最热的一年。）</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lang w:eastAsia="zh-CN"/>
        </w:rPr>
        <w:t>世界气象组织确认，2023年是有记录以来最热的年份，目前预估2024年的平均气温可能会更高，因为今年夏天极可能是有记录以来最热的一个夏天。当然，预测能否成立，还要等更多的数据汇总；从目前情况看，概率相当大。</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lang w:eastAsia="zh-CN"/>
        </w:rPr>
        <w:t>气温高是一个方面，极端天气也是参加活动的一大障碍。</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eastAsia="zh-CN"/>
        </w:rPr>
        <w:t>每年</w:t>
      </w:r>
      <w:r>
        <w:rPr>
          <w:rFonts w:hint="eastAsia" w:asciiTheme="minorEastAsia" w:hAnsiTheme="minorEastAsia" w:eastAsiaTheme="minorEastAsia" w:cstheme="minorEastAsia"/>
          <w:sz w:val="32"/>
          <w:szCs w:val="32"/>
          <w:lang w:val="en-US" w:eastAsia="zh-CN"/>
        </w:rPr>
        <w:t>8月举办的“雷丁利兹音乐节”（Reading and Leeds Festival）， 是英国历史最悠久、影响力最广泛，规模最大的音乐节之一。2023年的音乐节时，暴雨倾盆，人们披着雨衣挤在泥泞之中，心情可想而知，直接影响了2024年的参与热情。</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b/>
          <w:bCs/>
          <w:sz w:val="32"/>
          <w:szCs w:val="32"/>
          <w:lang w:eastAsia="zh-CN"/>
        </w:rPr>
      </w:pPr>
      <w:r>
        <w:rPr>
          <w:rFonts w:hint="eastAsia" w:asciiTheme="minorEastAsia" w:hAnsiTheme="minorEastAsia" w:eastAsiaTheme="minorEastAsia" w:cstheme="minorEastAsia"/>
          <w:b/>
          <w:bCs/>
          <w:sz w:val="32"/>
          <w:szCs w:val="32"/>
          <w:lang w:eastAsia="zh-CN"/>
        </w:rPr>
        <w:t>其次是经济因素。</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lang w:eastAsia="zh-CN"/>
        </w:rPr>
        <w:t>对于参与者来说，通货膨胀导致支出增加，不少人望账单却步。在就业形势</w:t>
      </w:r>
      <w:r>
        <w:rPr>
          <w:rFonts w:hint="eastAsia" w:asciiTheme="minorEastAsia" w:hAnsiTheme="minorEastAsia" w:eastAsiaTheme="minorEastAsia" w:cstheme="minorEastAsia"/>
          <w:sz w:val="32"/>
          <w:szCs w:val="32"/>
          <w:lang w:val="en-US" w:eastAsia="zh-CN"/>
        </w:rPr>
        <w:t>不</w:t>
      </w:r>
      <w:r>
        <w:rPr>
          <w:rFonts w:hint="eastAsia" w:asciiTheme="minorEastAsia" w:hAnsiTheme="minorEastAsia" w:eastAsiaTheme="minorEastAsia" w:cstheme="minorEastAsia"/>
          <w:sz w:val="32"/>
          <w:szCs w:val="32"/>
          <w:lang w:eastAsia="zh-CN"/>
        </w:rPr>
        <w:t>甚明朗的情况下，参加音乐节的大笔开支——除了门票，还得支付旅行和住宿费用……抑制了年轻人出门的热情。</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lang w:eastAsia="zh-CN"/>
        </w:rPr>
        <w:t>对于组织</w:t>
      </w:r>
      <w:r>
        <w:rPr>
          <w:rFonts w:hint="eastAsia" w:asciiTheme="minorEastAsia" w:hAnsiTheme="minorEastAsia" w:eastAsiaTheme="minorEastAsia" w:cstheme="minorEastAsia"/>
          <w:sz w:val="32"/>
          <w:szCs w:val="32"/>
          <w:highlight w:val="none"/>
          <w:lang w:val="en-US" w:eastAsia="zh-CN"/>
        </w:rPr>
        <w:t>者</w:t>
      </w:r>
      <w:r>
        <w:rPr>
          <w:rFonts w:hint="eastAsia" w:asciiTheme="minorEastAsia" w:hAnsiTheme="minorEastAsia" w:eastAsiaTheme="minorEastAsia" w:cstheme="minorEastAsia"/>
          <w:sz w:val="32"/>
          <w:szCs w:val="32"/>
          <w:lang w:eastAsia="zh-CN"/>
        </w:rPr>
        <w:t>来说，通货膨胀导致成本增加，利润空间被挤压。新冠疫情中的封禁要求，使许多活动主办机构退出了行业，全行业的供应链，从灯光师、设备租赁、餐饮提供到便携式厕所……供应商都减少了。</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eastAsia="zh-CN"/>
        </w:rPr>
        <w:t>当线下节庆活动被压抑许久的需求释放出来时，结果是全行业价格飞涨。根据行业协会的统计，成本是今年英国大批节庆活动取消的主要原因——</w:t>
      </w:r>
      <w:r>
        <w:rPr>
          <w:rFonts w:hint="eastAsia" w:asciiTheme="minorEastAsia" w:hAnsiTheme="minorEastAsia" w:eastAsiaTheme="minorEastAsia" w:cstheme="minorEastAsia"/>
          <w:sz w:val="32"/>
          <w:szCs w:val="32"/>
          <w:lang w:val="en-US" w:eastAsia="zh-CN"/>
        </w:rPr>
        <w:t>今年夏天有50多个英国音乐节被取消。</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lang w:eastAsia="zh-CN"/>
        </w:rPr>
        <w:t>只有最热门的活动，才能将这些成本转嫁给消费者。今年，“格拉斯顿伯里音乐节”（Glastonbury</w:t>
      </w:r>
      <w:r>
        <w:rPr>
          <w:rFonts w:hint="eastAsia" w:asciiTheme="minorEastAsia" w:hAnsiTheme="minorEastAsia" w:eastAsiaTheme="minorEastAsia" w:cstheme="minorEastAsia"/>
          <w:sz w:val="32"/>
          <w:szCs w:val="32"/>
          <w:lang w:val="en-US" w:eastAsia="zh-CN"/>
        </w:rPr>
        <w:t xml:space="preserve"> Festival</w:t>
      </w:r>
      <w:r>
        <w:rPr>
          <w:rFonts w:hint="eastAsia" w:asciiTheme="minorEastAsia" w:hAnsiTheme="minorEastAsia" w:eastAsiaTheme="minorEastAsia" w:cstheme="minorEastAsia"/>
          <w:sz w:val="32"/>
          <w:szCs w:val="32"/>
          <w:lang w:eastAsia="zh-CN"/>
        </w:rPr>
        <w:t>）的票价比2019年高出43%，但依然火爆。雷丁利兹音乐节与格拉斯顿伯里音乐节，并称为英国夏日两大音乐盛事，它们之外的音乐节，就很难说服歌迷掏腰包了。</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lang w:eastAsia="zh-CN"/>
        </w:rPr>
        <w:t>今年5月，詹妮弗·洛佩兹取消了她在美国的夏季巡演。除其他原因之外，有报道称，巡演门票销售不佳也是一个因素。</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b/>
          <w:bCs/>
          <w:sz w:val="32"/>
          <w:szCs w:val="32"/>
          <w:lang w:eastAsia="zh-CN"/>
        </w:rPr>
        <w:t>最后是传媒因素。</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sz w:val="32"/>
          <w:szCs w:val="32"/>
          <w:lang w:eastAsia="zh-CN"/>
        </w:rPr>
      </w:pPr>
      <w:r>
        <w:rPr>
          <w:rFonts w:hint="eastAsia"/>
          <w:sz w:val="32"/>
          <w:szCs w:val="32"/>
          <w:lang w:eastAsia="zh-CN"/>
        </w:rPr>
        <w:t>流媒体平台在流行音乐世界的作用越来越大，通过算法推荐，其将歌迷引入了一个个小众群体，客观上使得市场愈来愈分散。过去，大家都收听同一音乐（电）台或音乐频道的排行榜，喜欢的歌曲和歌星非常集中，现在歌迷们的喜好分散开了。</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sz w:val="32"/>
          <w:szCs w:val="32"/>
          <w:lang w:eastAsia="zh-CN"/>
        </w:rPr>
      </w:pPr>
      <w:r>
        <w:rPr>
          <w:rFonts w:hint="eastAsia"/>
          <w:sz w:val="32"/>
          <w:szCs w:val="32"/>
          <w:lang w:eastAsia="zh-CN"/>
        </w:rPr>
        <w:t>随着听众形成不同的群落，组织一个具有广泛吸引力的音乐节变得越来越难。音乐节的组织方表示，组织专注于单一音乐流派的小型活动，比组织大众感兴趣的大型现场活动，受欢迎得多。但从成本利润角度考虑，这是不可行的。</w:t>
      </w:r>
    </w:p>
    <w:p>
      <w:pPr>
        <w:jc w:val="center"/>
        <w:rPr>
          <w:rFonts w:hint="eastAsia" w:ascii="方正仿宋_GBK" w:hAnsi="方正仿宋_GBK" w:eastAsia="方正仿宋_GBK" w:cs="方正仿宋_GBK"/>
          <w:sz w:val="24"/>
          <w:szCs w:val="24"/>
          <w:lang w:val="en-US" w:eastAsia="zh-CN"/>
        </w:rPr>
      </w:pPr>
      <w:r>
        <w:rPr>
          <w:sz w:val="21"/>
          <w:szCs w:val="21"/>
        </w:rPr>
        <w:drawing>
          <wp:anchor distT="0" distB="0" distL="114300" distR="114300" simplePos="0" relativeHeight="251675648" behindDoc="0" locked="0" layoutInCell="1" allowOverlap="1">
            <wp:simplePos x="0" y="0"/>
            <wp:positionH relativeFrom="column">
              <wp:posOffset>1233805</wp:posOffset>
            </wp:positionH>
            <wp:positionV relativeFrom="paragraph">
              <wp:posOffset>123190</wp:posOffset>
            </wp:positionV>
            <wp:extent cx="3117215" cy="2078990"/>
            <wp:effectExtent l="0" t="0" r="6985" b="16510"/>
            <wp:wrapTopAndBottom/>
            <wp:docPr id="5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
                    <pic:cNvPicPr>
                      <a:picLocks noChangeAspect="1"/>
                    </pic:cNvPicPr>
                  </pic:nvPicPr>
                  <pic:blipFill>
                    <a:blip r:embed="rId23"/>
                    <a:stretch>
                      <a:fillRect/>
                    </a:stretch>
                  </pic:blipFill>
                  <pic:spPr>
                    <a:xfrm>
                      <a:off x="0" y="0"/>
                      <a:ext cx="3117215" cy="2078990"/>
                    </a:xfrm>
                    <a:prstGeom prst="rect">
                      <a:avLst/>
                    </a:prstGeom>
                    <a:noFill/>
                    <a:ln>
                      <a:noFill/>
                    </a:ln>
                  </pic:spPr>
                </pic:pic>
              </a:graphicData>
            </a:graphic>
          </wp:anchor>
        </w:drawing>
      </w:r>
      <w:r>
        <w:rPr>
          <w:rFonts w:hint="eastAsia" w:ascii="方正仿宋_GBK" w:hAnsi="方正仿宋_GBK" w:eastAsia="方正仿宋_GBK" w:cs="方正仿宋_GBK"/>
          <w:sz w:val="24"/>
          <w:szCs w:val="24"/>
          <w:lang w:eastAsia="zh-CN"/>
        </w:rPr>
        <w:t>（图：加州的“科切拉音乐节”Coachella</w:t>
      </w:r>
      <w:r>
        <w:rPr>
          <w:rFonts w:hint="eastAsia" w:ascii="方正仿宋_GBK" w:hAnsi="方正仿宋_GBK" w:eastAsia="方正仿宋_GBK" w:cs="方正仿宋_GBK"/>
          <w:sz w:val="24"/>
          <w:szCs w:val="24"/>
          <w:lang w:val="en-US" w:eastAsia="zh-CN"/>
        </w:rPr>
        <w:t xml:space="preserve"> Festival</w:t>
      </w:r>
      <w:r>
        <w:rPr>
          <w:rFonts w:hint="eastAsia" w:ascii="方正仿宋_GBK" w:hAnsi="方正仿宋_GBK" w:eastAsia="方正仿宋_GBK" w:cs="方正仿宋_GBK"/>
          <w:sz w:val="24"/>
          <w:szCs w:val="24"/>
          <w:lang w:eastAsia="zh-CN"/>
        </w:rPr>
        <w:t>）</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eastAsia="zh-CN"/>
        </w:rPr>
      </w:pP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32"/>
          <w:szCs w:val="32"/>
          <w:lang w:eastAsia="zh-CN"/>
        </w:rPr>
        <w:t>听众的碎片化，使得歌星的日子也不好过起来。今年4月，在“科切拉音乐节”上，观众对英国老牌摇滚乐队Blur的表演有些无动于衷、热情不足，乐队主唱当场埋怨观众说：“你们最好还是跟着唱吧，不然以后你们再也见不到我们了。”</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lang w:eastAsia="zh-CN"/>
        </w:rPr>
        <w:t>今年6月，在伦敦音乐节上，英国著名歌手丽塔-奥拉（Rita Ora）邀请现场观众同唱她的一首主打曲，但没有人知道歌词，场面一度有点尴尬……</w:t>
      </w: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Theme="minorEastAsia" w:hAnsiTheme="minorEastAsia" w:eastAsiaTheme="minorEastAsia" w:cstheme="minorEastAsia"/>
          <w:sz w:val="32"/>
          <w:szCs w:val="32"/>
          <w:lang w:val="en-US" w:eastAsia="zh-CN"/>
        </w:rPr>
      </w:pPr>
    </w:p>
    <w:p>
      <w:pPr>
        <w:ind w:firstLine="2328" w:firstLineChars="1200"/>
        <w:rPr>
          <w:rFonts w:hint="default" w:ascii="Calibri" w:hAnsi="Calibri" w:eastAsia="宋体" w:cs="Calibri"/>
          <w:b/>
          <w:bCs/>
          <w:color w:val="0000FF"/>
          <w:highlight w:val="yellow"/>
          <w:lang w:val="en-US" w:eastAsia="zh-CN"/>
        </w:rPr>
      </w:pPr>
    </w:p>
    <w:p>
      <w:pPr>
        <w:rPr>
          <w:rFonts w:hint="eastAsia" w:ascii="方正小标宋_GBK" w:hAnsi="方正小标宋_GBK" w:eastAsia="方正小标宋_GBK" w:cs="方正小标宋_GBK"/>
          <w:b/>
          <w:bCs/>
          <w:color w:val="0000FF"/>
          <w:sz w:val="32"/>
          <w:szCs w:val="32"/>
          <w:highlight w:val="yellow"/>
          <w:lang w:val="en-US" w:eastAsia="zh-CN"/>
        </w:rPr>
      </w:pPr>
      <w:r>
        <w:rPr>
          <w:rFonts w:hint="eastAsia" w:ascii="方正小标宋_GBK" w:hAnsi="方正小标宋_GBK" w:eastAsia="方正小标宋_GBK" w:cs="方正小标宋_GBK"/>
          <w:b/>
          <w:bCs/>
          <w:color w:val="0000FF"/>
          <w:sz w:val="32"/>
          <w:szCs w:val="32"/>
          <w:highlight w:val="yellow"/>
          <w:lang w:val="en-US" w:eastAsia="zh-CN"/>
        </w:rPr>
        <w:br w:type="page"/>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bCs/>
          <w:color w:val="FF0000"/>
          <w:sz w:val="96"/>
          <w:szCs w:val="96"/>
          <w:lang w:val="en-US" w:eastAsia="zh-CN"/>
        </w:rPr>
      </w:pPr>
      <w:r>
        <w:rPr>
          <w:rFonts w:hint="default" w:ascii="Times New Roman" w:hAnsi="Times New Roman" w:eastAsia="经典行楷简" w:cs="Times New Roman"/>
          <w:b/>
          <w:bCs/>
          <w:color w:val="FF0000"/>
          <w:sz w:val="96"/>
          <w:szCs w:val="96"/>
          <w:lang w:val="en-US" w:eastAsia="zh-CN"/>
        </w:rPr>
        <w:t>江苏贸促动态</w:t>
      </w: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34"/>
          <w:kern w:val="2"/>
          <w:sz w:val="52"/>
          <w:szCs w:val="52"/>
          <w:lang w:val="en-US" w:eastAsia="zh-CN" w:bidi="ar-SA"/>
        </w:rPr>
      </w:pPr>
      <w:r>
        <w:rPr>
          <w:rFonts w:hint="eastAsia" w:ascii="Times New Roman" w:hAnsi="Times New Roman" w:eastAsia="经典行楷简" w:cs="Times New Roman"/>
          <w:color w:val="2E75B6" w:themeColor="accent1" w:themeShade="BF"/>
          <w:spacing w:val="-34"/>
          <w:kern w:val="2"/>
          <w:sz w:val="52"/>
          <w:szCs w:val="52"/>
          <w:lang w:val="en-US" w:eastAsia="zh-CN" w:bidi="ar-SA"/>
        </w:rPr>
        <w:t>中国贸促会党组书记、会长任鸿斌来苏调研</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8月21日，中国贸促会党组书记、会长任鸿斌来苏州，与江苏省委常委、苏州市委书记刘小涛开展工作交流，赴太仓调研中德合作展示中心、联合汽车电子有限公司等，了解中德产业合作和企业生产经营情况，就助力长三角一体化发展、支持企业参与国际合作、更好融入全球产业链供应链等进行交流。江苏省贸促会党组书记、会长王善华和苏州市委常委、副市长唐晓东，太仓市委书记汪香元参加相关活动。</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太仓是中国的“德企之乡”。在太仓中德合作展示中心，任鸿斌通过听取介绍、观看宣传片、察看德企产品，全面了解太仓对德合作成果，重点关注在太德企高质量发展成就、服务生态以及主要由德企构成、竞争力突出的特色产业创新集群等。</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太仓深耕对德合作30余年，吸引了超500家德企聚集，搭建了中德中小企业合作创新发展的平台，形成了较为完善的对德合作体系，实现了从德企单向投资到中德企业双向互动，从产业合作到科教、文旅、环保、公益、城市建设、社会管理等多领域、多方位的交流合作格局。对此，任鸿斌给予充分肯定。</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联合汽车电子有限公司太仓分公司于2018年落户高新区，主要生产电机、电板和功率模块等电动汽车的三类核心部件，是全球领先的新能源汽车核心零部件标杆工厂。在这里，任鸿斌认真参观生产车间，与企业负责人交流，详细了解企业发展历程、现状、“重仓”太仓的原因，询问企业增资扩产、产品技术工艺等相关问题，对企业在太取得丰硕发展成果表示赞赏。</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方正楷体_GBK" w:hAnsi="方正楷体_GBK" w:eastAsia="方正楷体_GBK" w:cs="方正楷体_GBK"/>
          <w:b/>
          <w:bCs/>
          <w:color w:val="FF0000"/>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省贸促会办公室、贸易促进部相关负责同志和苏州市贸促会主要负责同志参加调研。</w:t>
      </w:r>
      <w:r>
        <w:rPr>
          <w:rFonts w:hint="eastAsia" w:asciiTheme="minorEastAsia" w:hAnsiTheme="minorEastAsia" w:cstheme="minorEastAsia"/>
          <w:color w:val="auto"/>
          <w:spacing w:val="0"/>
          <w:kern w:val="2"/>
          <w:sz w:val="32"/>
          <w:szCs w:val="32"/>
          <w:lang w:val="en-US" w:eastAsia="zh-CN" w:bidi="ar-SA"/>
        </w:rPr>
        <w:t xml:space="preserve">           </w:t>
      </w:r>
      <w:r>
        <w:rPr>
          <w:rFonts w:hint="eastAsia" w:ascii="方正楷体_GBK" w:hAnsi="方正楷体_GBK" w:eastAsia="方正楷体_GBK" w:cs="方正楷体_GBK"/>
          <w:b/>
          <w:bCs/>
          <w:color w:val="FF0000"/>
          <w:spacing w:val="0"/>
          <w:kern w:val="2"/>
          <w:sz w:val="32"/>
          <w:szCs w:val="32"/>
          <w:lang w:val="en-US" w:eastAsia="zh-CN" w:bidi="ar-SA"/>
        </w:rPr>
        <w:t>（办公室）</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Theme="minorEastAsia" w:hAnsiTheme="minorEastAsia" w:eastAsiaTheme="minorEastAsia" w:cstheme="minorEastAsia"/>
          <w:b/>
          <w:color w:val="1F497D"/>
          <w:kern w:val="36"/>
          <w:sz w:val="32"/>
          <w:szCs w:val="32"/>
          <w:u w:val="none" w:color="BB120F"/>
          <w:lang w:val="en-US" w:eastAsia="zh-CN"/>
          <w14:textFill>
            <w14:solidFill>
              <w14:srgbClr w14:val="1F497D">
                <w14:lumMod w14:val="60000"/>
                <w14:lumOff w14:val="40000"/>
              </w14:srgbClr>
            </w14:solidFill>
          </w14:textFill>
        </w:rPr>
      </w:pP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45"/>
          <w:kern w:val="2"/>
          <w:sz w:val="52"/>
          <w:szCs w:val="52"/>
          <w:lang w:val="en-US" w:eastAsia="zh-CN" w:bidi="ar-SA"/>
        </w:rPr>
        <w:t>省贸促会领导会见汇鸿中天董事长包振兴一行</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8月20日上午，省贸促会会长王善华与来访的江苏汇鸿国际集团中天控股有限公司董事长包振兴、副总经理宋鹏一行就加强合作联系、共同推动我省对外贸易高质量发展开展交流。省贸促会秘书长杜培军参加交流。</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王善华表示，汇鸿中天是江苏省国际商会理事单位，也是我省进出口标杆企业，近年来在扩大对外贸易和走出去方面取得了亮眼成绩。省贸促会（国际商会）将认真贯彻落实省委省政府关于在更高水平开放中推进外贸外资稳规模优结构要求，进一步发挥国际联络资源优势和商事法律服务优势，支持更多有竞争力的企业走出去进行全球化布局，加快建设具有世界聚合力的双向开放枢纽。</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包振兴感谢省贸促会（国际商会）长期以来对企业发展的关心支持，并简要介绍企业发展情况，重点就开拓越南、孟加拉市场进行交流。</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省贸促会就企业在商事认证、海外投资、贸易纠纷解决、展会合作等方面的诉求给予现场回应。</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会谈后，王善华为汇鸿中天颁发中国贸促会基础信用认证证书。该证书是中国贸促会通过对企业基本素质、履约能力、经营合规情况、偿债能力、综合管理能力等进行综合评价后，对企业信用状况作出的证明，可帮助企业在商务谈判、国际展会、企业直播中促成更多的贸易合作。企业通过信用认证后，可享受贸促会商事认证便利化措施及数据查询、贸易信息查询等专项服务。</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方正楷体_GBK" w:hAnsi="方正楷体_GBK" w:eastAsia="方正楷体_GBK" w:cs="方正楷体_GBK"/>
          <w:b/>
          <w:bCs/>
          <w:color w:val="FF0000"/>
          <w:spacing w:val="0"/>
          <w:kern w:val="2"/>
          <w:sz w:val="32"/>
          <w:szCs w:val="32"/>
          <w:lang w:val="en-US" w:eastAsia="zh-CN" w:bidi="ar-SA"/>
        </w:rPr>
      </w:pPr>
      <w:r>
        <w:rPr>
          <w:rFonts w:hint="eastAsia" w:asciiTheme="minorEastAsia" w:hAnsiTheme="minorEastAsia" w:cstheme="minorEastAsia"/>
          <w:color w:val="auto"/>
          <w:spacing w:val="0"/>
          <w:kern w:val="2"/>
          <w:sz w:val="32"/>
          <w:szCs w:val="32"/>
          <w:lang w:val="en-US" w:eastAsia="zh-CN" w:bidi="ar-SA"/>
        </w:rPr>
        <w:t xml:space="preserve">                    </w:t>
      </w:r>
      <w:r>
        <w:rPr>
          <w:rFonts w:hint="eastAsia" w:ascii="方正楷体_GBK" w:hAnsi="方正楷体_GBK" w:eastAsia="方正楷体_GBK" w:cs="方正楷体_GBK"/>
          <w:b/>
          <w:bCs/>
          <w:color w:val="FF0000"/>
          <w:spacing w:val="0"/>
          <w:kern w:val="2"/>
          <w:sz w:val="32"/>
          <w:szCs w:val="32"/>
          <w:lang w:val="en-US" w:eastAsia="zh-CN" w:bidi="ar-SA"/>
        </w:rPr>
        <w:t>（法律事务部、商服中心）</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方正楷体_GBK" w:hAnsi="方正楷体_GBK" w:eastAsia="方正楷体_GBK" w:cs="方正楷体_GBK"/>
          <w:b/>
          <w:bCs/>
          <w:color w:val="FF0000"/>
          <w:spacing w:val="0"/>
          <w:kern w:val="2"/>
          <w:sz w:val="32"/>
          <w:szCs w:val="32"/>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20"/>
          <w:kern w:val="2"/>
          <w:sz w:val="52"/>
          <w:szCs w:val="52"/>
          <w:lang w:val="en-US" w:eastAsia="zh-CN" w:bidi="ar-SA"/>
        </w:rPr>
        <w:t>南京贸促会组织ATA单证册培训进企业</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为切实帮助企业解决出国（出境）开展经贸活动通关时间长、手续繁琐、携带高额外汇风险高等难点堵点问题，根据企业实际需求，南京市贸促会送课上门到企业开展ATA单证册培训，不断提高国际贸易便利化水平，积极推动南京开放型经济发展和国际间经济文化交流。</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近日，南京市贸促会到位于溧水区的某企业开展ATA单证册培训，提高了该企业出国（出境）找订单、寻合作、拓市场的能力，受到企业的肯定和好评。这家企业是集新能源整车及核心零部件研发、生产、销售、服务于一体的独角兽企业。海外出口产品覆盖欧洲、非洲、中南美、中东、英联邦等区域，涉及60多个国家、200多个城市。企业利用ATA单证册进行商业样本展示及参与展览会和交易会，今年上半年采用ATA单证册出口报关货值达到226万元。</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通过培训，进一步提高了这家企业利用ATA单证册简化出口商品通关流程、降低通关成本、提高货物流通效率的能力，企业出国（出境）参加国际展览、会议、商务洽谈等活动更加便利，在响应国际市场需求变化方面也更加快速，提升了企业参与国际竞争的能力。</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方正楷体_GBK" w:hAnsi="方正楷体_GBK" w:eastAsia="方正楷体_GBK" w:cs="方正楷体_GBK"/>
          <w:b/>
          <w:bCs/>
          <w:color w:val="FF0000"/>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下一步，南京市贸促会将加大ATA单证册培训的力度和范围，支持企业开拓海外市场，更好地融入全球产业链、供应链和价值链，更加高效、经济的开展国际贸易。同时，ATA单证册培训也能够助力南京其他社会团体便捷地出国（出境）开展经济文化交流，推动国际化城市建设。</w:t>
      </w:r>
      <w:r>
        <w:rPr>
          <w:rFonts w:hint="eastAsia" w:asciiTheme="minorEastAsia" w:hAnsiTheme="minorEastAsia" w:cstheme="minorEastAsia"/>
          <w:color w:val="auto"/>
          <w:spacing w:val="0"/>
          <w:kern w:val="2"/>
          <w:sz w:val="32"/>
          <w:szCs w:val="32"/>
          <w:lang w:val="en-US" w:eastAsia="zh-CN" w:bidi="ar-SA"/>
        </w:rPr>
        <w:t xml:space="preserve">             </w:t>
      </w:r>
      <w:r>
        <w:rPr>
          <w:rFonts w:hint="eastAsia" w:ascii="方正楷体_GBK" w:hAnsi="方正楷体_GBK" w:eastAsia="方正楷体_GBK" w:cs="方正楷体_GBK"/>
          <w:b/>
          <w:bCs/>
          <w:color w:val="FF0000"/>
          <w:spacing w:val="0"/>
          <w:kern w:val="2"/>
          <w:sz w:val="32"/>
          <w:szCs w:val="32"/>
          <w:lang w:val="en-US" w:eastAsia="zh-CN" w:bidi="ar-SA"/>
        </w:rPr>
        <w:t>（南京贸促会）</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方正楷体_GBK" w:hAnsi="方正楷体_GBK" w:eastAsia="方正楷体_GBK" w:cs="方正楷体_GBK"/>
          <w:b/>
          <w:bCs/>
          <w:color w:val="FF0000"/>
          <w:spacing w:val="0"/>
          <w:kern w:val="2"/>
          <w:sz w:val="32"/>
          <w:szCs w:val="32"/>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镇江贸促会组织企业</w:t>
      </w: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参加江苏国际服务贸易展</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服务共享•贸易共赢”，近日，江苏国际服务贸易展览会在马来西亚吉隆坡会展中心举办。130多家江苏企业齐聚一堂，展示江苏服务贸易领域高质量发展成果。镇江市商务局和镇江市贸促会精心组织7家企业参展，20余家企业现场观展交流，向海外客商集中展示文旅创意和非遗餐饮食品等特色产品。这是我市文旅创意和非遗餐饮食品类产品的首次集体亮相海外，也创下了镇江服务贸易集体出海规模之最。</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展会现场，省商务厅副厅长姜昕陪同马来西亚投资、贸易及工业部副部长刘镇东，马来西亚中华总商会总会长丹斯里拿督卢成全等政要来到镇江香醋展位前，细细品尝各类产品，政要们对镇江香醋赞不绝口。展台前的客商络绎不绝，纷纷表示，在马来西亚很多人都知道镇江香醋，希望镇江醋企能够在马来西亚打开销路，让当地人更加方便地品尝到镇江香醋。参展首日，恒顺等镇江醋企即与十多家观展企业达成了合作意向。</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开展首日，镇江锅盖面展台所有展品销售一空。展会期间，马来西亚中国餐饮业协会署理事长张益凡、镇江市锅盖面行业协会会长刘斌就推动镇江锅盖面在马来西亚推广，达成共识。双方表示，将积极推动镇江锅盖面标准化工厂在马建设，推动镇江锅盖面产品进驻马来西亚商超。</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在展会现场，江苏谭木匠旅游文化产品有限公司带来了很多DIY订制产品，开放了DIY现场订制体验服务，大大提升了参展客商的体验感。企业表示，目前，谭木匠品牌已经入驻马来西亚，深受当地人的喜爱，此次参展进一步坚定了公司在马来西亚发展的决心。</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镇江企业精心准备此次国际服务贸易展会，带着新产品、新技术、新服务，向马来西亚客商展示出了十足的镇江文化“味道”。下一步，镇江市商务局、镇江市贸促会将持续对接企业需求，全力支持企业拓市场、抓订单，助力镇江特色产品出海。</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040" w:firstLineChars="1000"/>
        <w:contextualSpacing/>
        <w:jc w:val="both"/>
        <w:textAlignment w:val="auto"/>
        <w:outlineLvl w:val="1"/>
        <w:rPr>
          <w:rFonts w:hint="eastAsia" w:ascii="方正楷体_GBK" w:hAnsi="方正楷体_GBK" w:eastAsia="方正楷体_GBK" w:cs="方正楷体_GBK"/>
          <w:b/>
          <w:bCs/>
          <w:color w:val="FF0000"/>
          <w:spacing w:val="0"/>
          <w:kern w:val="2"/>
          <w:sz w:val="32"/>
          <w:szCs w:val="32"/>
          <w:lang w:val="en-US" w:eastAsia="zh-CN" w:bidi="ar-SA"/>
        </w:rPr>
      </w:pPr>
      <w:r>
        <w:rPr>
          <w:rFonts w:hint="eastAsia" w:asciiTheme="minorEastAsia" w:hAnsiTheme="minorEastAsia" w:cstheme="minorEastAsia"/>
          <w:color w:val="auto"/>
          <w:spacing w:val="0"/>
          <w:kern w:val="2"/>
          <w:sz w:val="32"/>
          <w:szCs w:val="32"/>
          <w:lang w:val="en-US" w:eastAsia="zh-CN" w:bidi="ar-SA"/>
        </w:rPr>
        <w:t xml:space="preserve">            </w:t>
      </w:r>
      <w:r>
        <w:rPr>
          <w:rFonts w:hint="eastAsia" w:ascii="方正楷体_GBK" w:hAnsi="方正楷体_GBK" w:eastAsia="方正楷体_GBK" w:cs="方正楷体_GBK"/>
          <w:b/>
          <w:bCs/>
          <w:color w:val="FF0000"/>
          <w:spacing w:val="0"/>
          <w:kern w:val="2"/>
          <w:sz w:val="32"/>
          <w:szCs w:val="32"/>
          <w:lang w:val="en-US" w:eastAsia="zh-CN" w:bidi="ar-SA"/>
        </w:rPr>
        <w:t xml:space="preserve">（镇江贸促会） </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r>
        <w:rPr>
          <w:rFonts w:hint="default" w:ascii="Times New Roman" w:hAnsi="Times New Roman" w:eastAsia="经典行楷简" w:cs="Times New Roman"/>
          <w:b/>
          <w:color w:val="2E75B6" w:themeColor="accent1" w:themeShade="BF"/>
          <w:kern w:val="36"/>
          <w:sz w:val="96"/>
          <w:szCs w:val="96"/>
          <w:u w:val="none" w:color="BB120F"/>
          <w:lang w:val="en-US" w:eastAsia="zh-CN"/>
        </w:rPr>
        <w:t>会员企业风采</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Times New Roman" w:hAnsi="Times New Roman" w:eastAsia="华文新魏" w:cs="Times New Roman"/>
          <w:b/>
          <w:color w:val="FF0000"/>
          <w:spacing w:val="0"/>
          <w:kern w:val="36"/>
          <w:sz w:val="52"/>
          <w:szCs w:val="52"/>
          <w:lang w:val="en-US" w:eastAsia="zh-CN"/>
        </w:rPr>
      </w:pPr>
      <w:r>
        <w:rPr>
          <w:rFonts w:hint="eastAsia" w:ascii="Times New Roman" w:hAnsi="Times New Roman" w:eastAsia="华文新魏" w:cs="Times New Roman"/>
          <w:b/>
          <w:color w:val="FF0000"/>
          <w:spacing w:val="0"/>
          <w:kern w:val="36"/>
          <w:sz w:val="52"/>
          <w:szCs w:val="52"/>
          <w:lang w:val="en-US" w:eastAsia="zh-CN"/>
        </w:rPr>
        <w:t>央媒点赞徐矿在绿色低碳</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Times New Roman" w:hAnsi="Times New Roman" w:eastAsia="华文新魏" w:cs="Times New Roman"/>
          <w:b/>
          <w:color w:val="FF0000"/>
          <w:spacing w:val="0"/>
          <w:kern w:val="36"/>
          <w:sz w:val="52"/>
          <w:szCs w:val="52"/>
          <w:lang w:val="en-US" w:eastAsia="zh-CN"/>
        </w:rPr>
      </w:pPr>
      <w:r>
        <w:rPr>
          <w:rFonts w:hint="eastAsia" w:ascii="Times New Roman" w:hAnsi="Times New Roman" w:eastAsia="华文新魏" w:cs="Times New Roman"/>
          <w:b/>
          <w:color w:val="FF0000"/>
          <w:spacing w:val="0"/>
          <w:kern w:val="36"/>
          <w:sz w:val="52"/>
          <w:szCs w:val="52"/>
          <w:lang w:val="en-US" w:eastAsia="zh-CN"/>
        </w:rPr>
        <w:t>新赛道上的生动实践</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i w:val="0"/>
          <w:caps w:val="0"/>
          <w:color w:val="000000"/>
          <w:spacing w:val="0"/>
          <w:sz w:val="32"/>
          <w:szCs w:val="32"/>
          <w:lang w:val="en-US" w:eastAsia="zh-CN"/>
        </w:rPr>
      </w:pPr>
      <w:r>
        <w:rPr>
          <w:rFonts w:hint="eastAsia" w:asciiTheme="minorEastAsia" w:hAnsiTheme="minorEastAsia" w:eastAsiaTheme="minorEastAsia" w:cstheme="minorEastAsia"/>
          <w:i w:val="0"/>
          <w:caps w:val="0"/>
          <w:color w:val="000000"/>
          <w:spacing w:val="0"/>
          <w:sz w:val="32"/>
          <w:szCs w:val="32"/>
          <w:lang w:val="en-US" w:eastAsia="zh-CN"/>
        </w:rPr>
        <w:t>近日，《人民日报》刊发时评《发挥更大想象力去创新》，综合报道我国在积极研发和应用新型清洁能源技术方面，以更低的能源消耗和碳排放有效支撑经济社会高质量发展的生动实践。</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i w:val="0"/>
          <w:caps w:val="0"/>
          <w:color w:val="000000"/>
          <w:spacing w:val="0"/>
          <w:sz w:val="32"/>
          <w:szCs w:val="32"/>
          <w:lang w:val="en-US" w:eastAsia="zh-CN"/>
        </w:rPr>
      </w:pPr>
      <w:r>
        <w:rPr>
          <w:rFonts w:hint="eastAsia" w:asciiTheme="minorEastAsia" w:hAnsiTheme="minorEastAsia" w:eastAsiaTheme="minorEastAsia" w:cstheme="minorEastAsia"/>
          <w:i w:val="0"/>
          <w:caps w:val="0"/>
          <w:color w:val="000000"/>
          <w:spacing w:val="0"/>
          <w:sz w:val="32"/>
          <w:szCs w:val="32"/>
          <w:lang w:val="en-US" w:eastAsia="zh-CN"/>
        </w:rPr>
        <w:t>文中以掺烧污泥耦合发电技术为例，聚焦我会副会长单位——徐州矿务集团有限公司“循环流化床机组掺烧污泥技术”绿色发展案例，报道徐矿发电公司全面推进煤电低碳化转型，抢占传统火电培育新质生产力制高点，在绿色低碳“新赛道”上奋勇前行。 </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i w:val="0"/>
          <w:caps w:val="0"/>
          <w:color w:val="000000"/>
          <w:spacing w:val="0"/>
          <w:sz w:val="32"/>
          <w:szCs w:val="32"/>
          <w:lang w:val="en-US" w:eastAsia="zh-CN"/>
        </w:rPr>
      </w:pPr>
      <w:r>
        <w:rPr>
          <w:rFonts w:hint="eastAsia" w:asciiTheme="minorEastAsia" w:hAnsiTheme="minorEastAsia" w:eastAsiaTheme="minorEastAsia" w:cstheme="minorEastAsia"/>
          <w:i w:val="0"/>
          <w:caps w:val="0"/>
          <w:color w:val="000000"/>
          <w:spacing w:val="0"/>
          <w:sz w:val="32"/>
          <w:szCs w:val="32"/>
          <w:lang w:val="en-US" w:eastAsia="zh-CN"/>
        </w:rPr>
        <w:t>近年来，我国积极研发和应用新型清洁能源技术，着力推进太阳能、风能、生物质能、地热能等的开发利用，以更低的能源消耗和碳排放有效支撑了经济社会高质量发展。在徐矿发电公司，从下水道和污水处理厂收集的污泥，烘干后被用来与煤炭掺烧发电。该企业平均每年要处置近10万吨污泥，可节约标准煤近8000吨。我国可作为能源利用的生物质资源总量每年约4.6亿吨标准煤，进一步做好开发利用，具有战略性意义。在确保供给安全的基础上，加快从技术、产业、商业模式等不同方向推动创新，加快实施可再生能源替代行动，能源绿色转型发展之路就会越走越宽广。 </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方正楷体_GBK" w:hAnsi="方正楷体_GBK" w:eastAsia="方正楷体_GBK" w:cs="方正楷体_GBK"/>
          <w:b/>
          <w:bCs w:val="0"/>
          <w:color w:val="FF0000"/>
          <w:sz w:val="32"/>
          <w:szCs w:val="32"/>
        </w:rPr>
      </w:pPr>
      <w:r>
        <w:rPr>
          <w:rFonts w:hint="eastAsia" w:asciiTheme="minorEastAsia" w:hAnsiTheme="minorEastAsia" w:cstheme="minorEastAsia"/>
          <w:i w:val="0"/>
          <w:caps w:val="0"/>
          <w:color w:val="000000"/>
          <w:spacing w:val="0"/>
          <w:sz w:val="32"/>
          <w:szCs w:val="32"/>
          <w:lang w:val="en-US" w:eastAsia="zh-CN"/>
        </w:rPr>
        <w:t xml:space="preserve">                              </w:t>
      </w:r>
      <w:r>
        <w:rPr>
          <w:rFonts w:hint="eastAsia" w:ascii="方正楷体_GBK" w:hAnsi="方正楷体_GBK" w:eastAsia="方正楷体_GBK" w:cs="方正楷体_GBK"/>
          <w:b/>
          <w:bCs w:val="0"/>
          <w:color w:val="FF0000"/>
          <w:sz w:val="32"/>
          <w:szCs w:val="32"/>
        </w:rPr>
        <w:t>（来源：徐矿集团官网）</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eastAsia" w:ascii="Times New Roman" w:hAnsi="Times New Roman" w:eastAsia="华文新魏" w:cs="Times New Roman"/>
          <w:b/>
          <w:color w:val="FF0000"/>
          <w:spacing w:val="-34"/>
          <w:kern w:val="36"/>
          <w:sz w:val="10"/>
          <w:szCs w:val="10"/>
          <w:lang w:val="en-US" w:eastAsia="zh-CN"/>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eastAsia" w:ascii="Times New Roman" w:hAnsi="Times New Roman" w:eastAsia="华文新魏" w:cs="Times New Roman"/>
          <w:b/>
          <w:color w:val="FF0000"/>
          <w:spacing w:val="-34"/>
          <w:kern w:val="36"/>
          <w:sz w:val="10"/>
          <w:szCs w:val="10"/>
          <w:lang w:val="en-US" w:eastAsia="zh-CN"/>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imes New Roman" w:hAnsi="Times New Roman" w:eastAsia="华文新魏" w:cs="Times New Roman"/>
          <w:b/>
          <w:color w:val="FF0000"/>
          <w:spacing w:val="28"/>
          <w:kern w:val="36"/>
          <w:sz w:val="52"/>
          <w:szCs w:val="52"/>
          <w:lang w:val="en-US" w:eastAsia="zh-CN"/>
        </w:rPr>
      </w:pPr>
      <w:r>
        <w:rPr>
          <w:rFonts w:hint="eastAsia" w:ascii="Times New Roman" w:hAnsi="Times New Roman" w:eastAsia="华文新魏" w:cs="Times New Roman"/>
          <w:b/>
          <w:color w:val="FF0000"/>
          <w:spacing w:val="-34"/>
          <w:kern w:val="36"/>
          <w:sz w:val="52"/>
          <w:szCs w:val="52"/>
          <w:lang w:val="en-US" w:eastAsia="zh-CN"/>
        </w:rPr>
        <w:t>聚焦太仓新经济 焦点科技推动跨境服务创新</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i w:val="0"/>
          <w:caps w:val="0"/>
          <w:color w:val="000000"/>
          <w:spacing w:val="0"/>
          <w:sz w:val="32"/>
          <w:szCs w:val="32"/>
          <w:lang w:val="en-US" w:eastAsia="zh-CN"/>
        </w:rPr>
      </w:pPr>
      <w:r>
        <w:rPr>
          <w:rFonts w:hint="eastAsia" w:asciiTheme="minorEastAsia" w:hAnsiTheme="minorEastAsia" w:eastAsiaTheme="minorEastAsia" w:cstheme="minorEastAsia"/>
          <w:i w:val="0"/>
          <w:caps w:val="0"/>
          <w:color w:val="000000"/>
          <w:spacing w:val="0"/>
          <w:sz w:val="32"/>
          <w:szCs w:val="32"/>
          <w:lang w:val="en-US" w:eastAsia="zh-CN"/>
        </w:rPr>
        <w:t>近日，2024（太仓）新经济新业态投资合作交流会暨港航服务业招商推介活动在江苏太仓圆满落幕。来自港航服务业、跨境电商、数字经济、保险、金融等领域的百余位优秀企业代表，围绕 “因港而兴 向‘新’而行”这一主题，共同探讨并推动港航服务领域的深度合作与创新。我会副会长单位——焦点科技股份有限公司受邀参加大会，并在互动对话环节与与会嘉宾深入探讨了相关议题。</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i w:val="0"/>
          <w:caps w:val="0"/>
          <w:color w:val="000000"/>
          <w:spacing w:val="0"/>
          <w:sz w:val="32"/>
          <w:szCs w:val="32"/>
          <w:lang w:val="en-US" w:eastAsia="zh-CN"/>
        </w:rPr>
      </w:pPr>
      <w:r>
        <w:rPr>
          <w:rFonts w:hint="eastAsia" w:asciiTheme="minorEastAsia" w:hAnsiTheme="minorEastAsia" w:eastAsiaTheme="minorEastAsia" w:cstheme="minorEastAsia"/>
          <w:i w:val="0"/>
          <w:caps w:val="0"/>
          <w:color w:val="000000"/>
          <w:spacing w:val="0"/>
          <w:sz w:val="32"/>
          <w:szCs w:val="32"/>
          <w:lang w:val="en-US" w:eastAsia="zh-CN"/>
        </w:rPr>
        <w:t>伴随着中国企业“走出去”的进程，焦点科技以“弘扬中国制造，服务中小企业，促进全球贸易”为宗旨，持续借助数字技术及智能化运营手段，为中小企业提供涵盖交易支付、仓储物流、金融保险等一站式跨境电商解决方案，助力中国企业开拓海外市场。</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i w:val="0"/>
          <w:caps w:val="0"/>
          <w:color w:val="000000"/>
          <w:spacing w:val="0"/>
          <w:sz w:val="32"/>
          <w:szCs w:val="32"/>
          <w:lang w:val="en-US" w:eastAsia="zh-CN"/>
        </w:rPr>
      </w:pPr>
      <w:r>
        <w:rPr>
          <w:rFonts w:hint="eastAsia" w:asciiTheme="minorEastAsia" w:hAnsiTheme="minorEastAsia" w:eastAsiaTheme="minorEastAsia" w:cstheme="minorEastAsia"/>
          <w:i w:val="0"/>
          <w:caps w:val="0"/>
          <w:color w:val="000000"/>
          <w:spacing w:val="0"/>
          <w:sz w:val="32"/>
          <w:szCs w:val="32"/>
          <w:lang w:val="en-US" w:eastAsia="zh-CN"/>
        </w:rPr>
        <w:t>据悉，焦点科技旗下中国制造网是中国最早一批帮助中小企业出海的跨境B2B平台；其全资子公司inQbrands Inc.为出口企业提供了落地北美、样品参展、多渠道销售、海外仓交付等跨境全流程服务。此外，焦点科技旗下一件代发服务平台Doba，能够帮助国内供应商利用众多海外电商渠道卖家资源增加订单，拓展线上销售渠道，打开跨境市场。</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方正楷体_GBK" w:hAnsi="方正楷体_GBK" w:eastAsia="方正楷体_GBK" w:cs="方正楷体_GBK"/>
          <w:b/>
          <w:bCs w:val="0"/>
          <w:color w:val="FF0000"/>
          <w:sz w:val="32"/>
          <w:szCs w:val="32"/>
        </w:rPr>
      </w:pPr>
      <w:r>
        <w:rPr>
          <w:rFonts w:hint="eastAsia" w:asciiTheme="minorEastAsia" w:hAnsiTheme="minorEastAsia" w:cstheme="minorEastAsia"/>
          <w:i w:val="0"/>
          <w:caps w:val="0"/>
          <w:color w:val="000000"/>
          <w:spacing w:val="0"/>
          <w:sz w:val="32"/>
          <w:szCs w:val="32"/>
          <w:lang w:val="en-US" w:eastAsia="zh-CN"/>
        </w:rPr>
        <w:t xml:space="preserve">                    </w:t>
      </w:r>
      <w:r>
        <w:rPr>
          <w:rFonts w:hint="eastAsia" w:ascii="方正楷体_GBK" w:hAnsi="方正楷体_GBK" w:eastAsia="方正楷体_GBK" w:cs="方正楷体_GBK"/>
          <w:b/>
          <w:bCs w:val="0"/>
          <w:color w:val="FF0000"/>
          <w:sz w:val="32"/>
          <w:szCs w:val="32"/>
        </w:rPr>
        <w:t>（来源：焦点科技官网）</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方正楷体_GBK" w:hAnsi="方正楷体_GBK" w:eastAsia="方正楷体_GBK" w:cs="方正楷体_GBK"/>
          <w:b/>
          <w:bCs w:val="0"/>
          <w:color w:val="FF0000"/>
          <w:sz w:val="32"/>
          <w:szCs w:val="32"/>
        </w:rPr>
      </w:pP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方正楷体_GBK" w:hAnsi="方正楷体_GBK" w:eastAsia="方正楷体_GBK" w:cs="方正楷体_GBK"/>
          <w:b/>
          <w:bCs w:val="0"/>
          <w:color w:val="FF0000"/>
          <w:sz w:val="32"/>
          <w:szCs w:val="32"/>
        </w:rPr>
      </w:pP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方正楷体_GBK" w:hAnsi="方正楷体_GBK" w:eastAsia="方正楷体_GBK" w:cs="方正楷体_GBK"/>
          <w:b/>
          <w:bCs w:val="0"/>
          <w:color w:val="FF0000"/>
          <w:sz w:val="32"/>
          <w:szCs w:val="32"/>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华文新魏" w:cs="Times New Roman"/>
          <w:b/>
          <w:color w:val="FF0000"/>
          <w:spacing w:val="-20"/>
          <w:kern w:val="36"/>
          <w:sz w:val="10"/>
          <w:szCs w:val="10"/>
          <w:lang w:val="en-US" w:eastAsia="zh-CN"/>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eastAsia" w:ascii="Times New Roman" w:hAnsi="Times New Roman" w:eastAsia="华文新魏" w:cs="Times New Roman"/>
          <w:b/>
          <w:color w:val="FF0000"/>
          <w:spacing w:val="-34"/>
          <w:kern w:val="36"/>
          <w:sz w:val="10"/>
          <w:szCs w:val="10"/>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Theme="minorEastAsia" w:hAnsiTheme="minorEastAsia" w:eastAsiaTheme="minorEastAsia" w:cstheme="minorEastAsia"/>
          <w:i w:val="0"/>
          <w:caps w:val="0"/>
          <w:color w:val="000000"/>
          <w:spacing w:val="0"/>
          <w:sz w:val="32"/>
          <w:szCs w:val="32"/>
          <w:lang w:val="en-US" w:eastAsia="zh-CN"/>
        </w:rPr>
      </w:pPr>
      <w:r>
        <w:rPr>
          <w:rFonts w:hint="eastAsia" w:ascii="Times New Roman" w:hAnsi="Times New Roman" w:eastAsia="华文新魏" w:cs="Times New Roman"/>
          <w:b/>
          <w:color w:val="FF0000"/>
          <w:spacing w:val="-20"/>
          <w:kern w:val="36"/>
          <w:sz w:val="52"/>
          <w:szCs w:val="52"/>
          <w:lang w:val="en-US" w:eastAsia="zh-CN"/>
        </w:rPr>
        <w:t>第十四届中国（南京）国际糖酒会盛大开幕，洋河股份再夺11“金”！</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i w:val="0"/>
          <w:caps w:val="0"/>
          <w:color w:val="000000"/>
          <w:spacing w:val="0"/>
          <w:sz w:val="32"/>
          <w:szCs w:val="32"/>
          <w:lang w:val="en-US" w:eastAsia="zh-CN"/>
        </w:rPr>
      </w:pPr>
      <w:r>
        <w:rPr>
          <w:rFonts w:hint="eastAsia" w:asciiTheme="minorEastAsia" w:hAnsiTheme="minorEastAsia" w:eastAsiaTheme="minorEastAsia" w:cstheme="minorEastAsia"/>
          <w:i w:val="0"/>
          <w:caps w:val="0"/>
          <w:color w:val="000000"/>
          <w:spacing w:val="0"/>
          <w:sz w:val="32"/>
          <w:szCs w:val="32"/>
          <w:lang w:val="en-US" w:eastAsia="zh-CN"/>
        </w:rPr>
        <w:t>近日，2024第十四届中国（南京）国际糖酒食品交易会在南京盛大开幕。本次展会汇聚了国内酒文化领域的优秀企业和创新成果，展览面积达到5.5万平方米，展商数量超过1800家，让观众全方面领略了全球糖酒文化的独特魅力。</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i w:val="0"/>
          <w:caps w:val="0"/>
          <w:color w:val="000000"/>
          <w:spacing w:val="0"/>
          <w:sz w:val="32"/>
          <w:szCs w:val="32"/>
          <w:lang w:val="en-US" w:eastAsia="zh-CN"/>
        </w:rPr>
      </w:pPr>
      <w:r>
        <w:rPr>
          <w:rFonts w:hint="eastAsia" w:asciiTheme="minorEastAsia" w:hAnsiTheme="minorEastAsia" w:eastAsiaTheme="minorEastAsia" w:cstheme="minorEastAsia"/>
          <w:i w:val="0"/>
          <w:caps w:val="0"/>
          <w:color w:val="000000"/>
          <w:spacing w:val="0"/>
          <w:sz w:val="32"/>
          <w:szCs w:val="32"/>
          <w:lang w:val="en-US" w:eastAsia="zh-CN"/>
        </w:rPr>
        <w:t>会上，我会副会长单位——江苏洋河酒厂股份有限公司荣获11“金”。“品”得6金，洋河、双沟获得消费者信得过的最具代表性品牌奖；酿酒匠人王铁、曹健获得2024年度江苏省酒类行业“工匠”奖杯；洋河、双沟荣获“2023年度江苏省酿造（酒）产业突出贡献成就奖”。“质”夺5金，旗下梦之蓝手工班、洋河梦之蓝、蓝色经典、苏酒、双沟珍宝坊，凭借卓越的品牌影响力获得产品创新引领品牌奖。</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方正楷体_GBK" w:hAnsi="方正楷体_GBK" w:eastAsia="方正楷体_GBK" w:cs="方正楷体_GBK"/>
          <w:b/>
          <w:bCs w:val="0"/>
          <w:color w:val="FF0000"/>
          <w:sz w:val="32"/>
          <w:szCs w:val="32"/>
          <w:lang w:val="en-US" w:eastAsia="zh-CN"/>
        </w:rPr>
      </w:pPr>
      <w:r>
        <w:rPr>
          <w:rFonts w:hint="eastAsia" w:asciiTheme="minorEastAsia" w:hAnsiTheme="minorEastAsia" w:cstheme="minorEastAsia"/>
          <w:i w:val="0"/>
          <w:caps w:val="0"/>
          <w:color w:val="000000"/>
          <w:spacing w:val="0"/>
          <w:sz w:val="32"/>
          <w:szCs w:val="32"/>
          <w:lang w:val="en-US" w:eastAsia="zh-CN"/>
        </w:rPr>
        <w:t xml:space="preserve">                      </w:t>
      </w:r>
      <w:r>
        <w:rPr>
          <w:rFonts w:hint="eastAsia" w:ascii="方正楷体_GBK" w:hAnsi="方正楷体_GBK" w:eastAsia="方正楷体_GBK" w:cs="方正楷体_GBK"/>
          <w:b/>
          <w:bCs w:val="0"/>
          <w:color w:val="FF0000"/>
          <w:sz w:val="32"/>
          <w:szCs w:val="32"/>
        </w:rPr>
        <w:t>（来源：洋河股份官网）</w:t>
      </w:r>
    </w:p>
    <w:sectPr>
      <w:footerReference r:id="rId4" w:type="default"/>
      <w:pgSz w:w="11906" w:h="16838"/>
      <w:pgMar w:top="2098" w:right="1474" w:bottom="1984" w:left="1587" w:header="1417" w:footer="992" w:gutter="0"/>
      <w:pgBorders>
        <w:top w:val="single" w:color="F82206" w:sz="48" w:space="1"/>
        <w:left w:val="single" w:color="F82206" w:sz="48" w:space="4"/>
        <w:bottom w:val="single" w:color="F82206" w:sz="48" w:space="1"/>
        <w:right w:val="single" w:color="F82206" w:sz="48" w:space="4"/>
      </w:pgBorders>
      <w:pgNumType w:fmt="decimal" w:start="1"/>
      <w:cols w:space="425" w:num="1"/>
      <w:docGrid w:type="linesAndChars" w:linePitch="290" w:charSpace="-34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onsolas">
    <w:panose1 w:val="020B0609020204030204"/>
    <w:charset w:val="00"/>
    <w:family w:val="auto"/>
    <w:pitch w:val="default"/>
    <w:sig w:usb0="E00006FF" w:usb1="0000FCFF" w:usb2="00000001" w:usb3="00000000" w:csb0="6000019F" w:csb1="DFD70000"/>
  </w:font>
  <w:font w:name="经典行楷简">
    <w:panose1 w:val="02010609000101010101"/>
    <w:charset w:val="86"/>
    <w:family w:val="auto"/>
    <w:pitch w:val="default"/>
    <w:sig w:usb0="A1007AEF" w:usb1="F9DF7CFB" w:usb2="0000001E" w:usb3="00000000" w:csb0="20040000" w:csb1="00000000"/>
  </w:font>
  <w:font w:name="方正楷体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华文新魏">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center"/>
      <w:rPr>
        <w:rFonts w:ascii="Calibri" w:hAnsi="Calibri" w:eastAsia="宋体" w:cs="Times New Roman"/>
        <w:kern w:val="2"/>
        <w:sz w:val="18"/>
        <w:szCs w:val="18"/>
        <w:lang w:val="en-US" w:eastAsia="zh-CN" w:bidi="ar-SA"/>
      </w:rPr>
    </w:pPr>
  </w:p>
  <w:p>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center"/>
      <w:rPr>
        <w:rFonts w:ascii="Calibri" w:hAnsi="Calibri" w:eastAsia="宋体" w:cs="Times New Roman"/>
        <w:kern w:val="2"/>
        <w:sz w:val="18"/>
        <w:szCs w:val="18"/>
        <w:lang w:val="en-US" w:eastAsia="zh-CN" w:bidi="ar-SA"/>
      </w:rPr>
    </w:pPr>
    <w:r>
      <w:rPr>
        <w:rFonts w:ascii="Calibri" w:hAnsi="Calibri" w:eastAsia="宋体" w:cs="Times New Roman"/>
        <w:kern w:val="2"/>
        <w:sz w:val="18"/>
        <w:szCs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-304800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val="0"/>
                            <w:tabs>
                              <w:tab w:val="center" w:pos="4153"/>
                              <w:tab w:val="right" w:pos="8306"/>
                            </w:tabs>
                            <w:snapToGrid w:val="0"/>
                            <w:jc w:val="center"/>
                            <w:rPr>
                              <w:rFonts w:ascii="Calibri" w:hAnsi="Calibri" w:eastAsia="宋体" w:cs="Times New Roman"/>
                              <w:kern w:val="2"/>
                              <w:sz w:val="18"/>
                              <w:szCs w:val="18"/>
                              <w:highlight w:val="yellow"/>
                              <w:lang w:val="en-US" w:eastAsia="zh-CN" w:bidi="ar-SA"/>
                            </w:rPr>
                          </w:pP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 xml:space="preserve">— </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begin"/>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instrText xml:space="preserve"> PAGE  \* MERGEFORMAT </w:instrTex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separate"/>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1</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end"/>
                          </w:r>
                          <w:r>
                            <w:rPr>
                              <w:rFonts w:hint="default" w:ascii="Times New Roman" w:hAnsi="Times New Roman" w:eastAsia="宋体" w:cs="Times New Roman"/>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 xml:space="preserve"> </w:t>
                          </w: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24pt;height:144pt;width:144pt;mso-position-horizontal:center;mso-position-horizontal-relative:margin;mso-wrap-style:none;z-index:251659264;mso-width-relative:page;mso-height-relative:page;" filled="f" stroked="f" coordsize="21600,21600" o:gfxdata="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IDvTPUAAAACAEAAA8A&#10;AAAAAAAAAQAgAAAAIgAAAGRycy9kb3ducmV2LnhtbFBLAQIUABQAAAAIAIdO4kAjhYu2GwIAACEE&#10;AAAOAAAAAAAAAAEAIAAAACMBAABkcnMvZTJvRG9jLnhtbFBLBQYAAAAABgAGAFkBAACwBQAAAAA=&#10;">
              <v:fill on="f" focussize="0,0"/>
              <v:stroke on="f" weight="0.5pt"/>
              <v:imagedata o:title=""/>
              <o:lock v:ext="edit" aspectratio="f"/>
              <v:textbox inset="0mm,0mm,0mm,0mm" style="mso-fit-shape-to-text:t;">
                <w:txbxContent>
                  <w:p>
                    <w:pPr>
                      <w:widowControl w:val="0"/>
                      <w:tabs>
                        <w:tab w:val="center" w:pos="4153"/>
                        <w:tab w:val="right" w:pos="8306"/>
                      </w:tabs>
                      <w:snapToGrid w:val="0"/>
                      <w:jc w:val="center"/>
                      <w:rPr>
                        <w:rFonts w:ascii="Calibri" w:hAnsi="Calibri" w:eastAsia="宋体" w:cs="Times New Roman"/>
                        <w:kern w:val="2"/>
                        <w:sz w:val="18"/>
                        <w:szCs w:val="18"/>
                        <w:highlight w:val="yellow"/>
                        <w:lang w:val="en-US" w:eastAsia="zh-CN" w:bidi="ar-SA"/>
                      </w:rPr>
                    </w:pP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 xml:space="preserve">— </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begin"/>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instrText xml:space="preserve"> PAGE  \* MERGEFORMAT </w:instrTex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separate"/>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1</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end"/>
                    </w:r>
                    <w:r>
                      <w:rPr>
                        <w:rFonts w:hint="default" w:ascii="Times New Roman" w:hAnsi="Times New Roman" w:eastAsia="宋体" w:cs="Times New Roman"/>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 xml:space="preserve"> </w:t>
                    </w: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w:t>
                    </w:r>
                  </w:p>
                </w:txbxContent>
              </v:textbox>
            </v:shape>
          </w:pict>
        </mc:Fallback>
      </mc:AlternateContent>
    </w:r>
  </w:p>
  <w:p>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gyY2JjZjUwZjliZTZiOTlhN2YyNWNiNDhlZDgzZjgifQ=="/>
  </w:docVars>
  <w:rsids>
    <w:rsidRoot w:val="09CD0E22"/>
    <w:rsid w:val="00030C0E"/>
    <w:rsid w:val="00043245"/>
    <w:rsid w:val="0007364F"/>
    <w:rsid w:val="000800B0"/>
    <w:rsid w:val="00093D01"/>
    <w:rsid w:val="00097083"/>
    <w:rsid w:val="000C6CC2"/>
    <w:rsid w:val="001156B9"/>
    <w:rsid w:val="00145330"/>
    <w:rsid w:val="00154806"/>
    <w:rsid w:val="001F2C95"/>
    <w:rsid w:val="00215B64"/>
    <w:rsid w:val="002840B7"/>
    <w:rsid w:val="003208B4"/>
    <w:rsid w:val="003671B0"/>
    <w:rsid w:val="003C691D"/>
    <w:rsid w:val="003F32D7"/>
    <w:rsid w:val="0042623F"/>
    <w:rsid w:val="0043286B"/>
    <w:rsid w:val="00467C46"/>
    <w:rsid w:val="005279A4"/>
    <w:rsid w:val="005A092B"/>
    <w:rsid w:val="006B63D3"/>
    <w:rsid w:val="006C0C2E"/>
    <w:rsid w:val="00723B7D"/>
    <w:rsid w:val="007C2A82"/>
    <w:rsid w:val="007E11E9"/>
    <w:rsid w:val="008B2F92"/>
    <w:rsid w:val="008E3499"/>
    <w:rsid w:val="008F79A9"/>
    <w:rsid w:val="00906A61"/>
    <w:rsid w:val="00962249"/>
    <w:rsid w:val="00984AC6"/>
    <w:rsid w:val="00A0554E"/>
    <w:rsid w:val="00A55B3B"/>
    <w:rsid w:val="00B35803"/>
    <w:rsid w:val="00B45E3E"/>
    <w:rsid w:val="00B528B9"/>
    <w:rsid w:val="00C16462"/>
    <w:rsid w:val="00C66488"/>
    <w:rsid w:val="00CA656E"/>
    <w:rsid w:val="00CE04E4"/>
    <w:rsid w:val="00D0085C"/>
    <w:rsid w:val="00D9651F"/>
    <w:rsid w:val="00DB54B3"/>
    <w:rsid w:val="00DF053C"/>
    <w:rsid w:val="00E278B0"/>
    <w:rsid w:val="00E76B4E"/>
    <w:rsid w:val="00EA6FD6"/>
    <w:rsid w:val="00FC3867"/>
    <w:rsid w:val="010007F1"/>
    <w:rsid w:val="010F41FD"/>
    <w:rsid w:val="01123C24"/>
    <w:rsid w:val="01281FA6"/>
    <w:rsid w:val="0129652A"/>
    <w:rsid w:val="012C4A94"/>
    <w:rsid w:val="0134238F"/>
    <w:rsid w:val="01434062"/>
    <w:rsid w:val="014F3F68"/>
    <w:rsid w:val="015A28DE"/>
    <w:rsid w:val="01603797"/>
    <w:rsid w:val="01607B5B"/>
    <w:rsid w:val="01614C4F"/>
    <w:rsid w:val="016607CF"/>
    <w:rsid w:val="01687C29"/>
    <w:rsid w:val="016C6133"/>
    <w:rsid w:val="016D0719"/>
    <w:rsid w:val="01730647"/>
    <w:rsid w:val="017F7312"/>
    <w:rsid w:val="0183354F"/>
    <w:rsid w:val="018A4341"/>
    <w:rsid w:val="018D1ED5"/>
    <w:rsid w:val="018E0532"/>
    <w:rsid w:val="01944C0D"/>
    <w:rsid w:val="019652A2"/>
    <w:rsid w:val="019A0A9C"/>
    <w:rsid w:val="019E5AF8"/>
    <w:rsid w:val="01A05888"/>
    <w:rsid w:val="01A2463C"/>
    <w:rsid w:val="01A277CA"/>
    <w:rsid w:val="01A536F0"/>
    <w:rsid w:val="01AB72AD"/>
    <w:rsid w:val="01AD0FC0"/>
    <w:rsid w:val="01AF0E83"/>
    <w:rsid w:val="01B74B80"/>
    <w:rsid w:val="01B76B70"/>
    <w:rsid w:val="01BC47E4"/>
    <w:rsid w:val="01BD0D3F"/>
    <w:rsid w:val="01C17E07"/>
    <w:rsid w:val="01C277DB"/>
    <w:rsid w:val="01CB201F"/>
    <w:rsid w:val="01D01DDD"/>
    <w:rsid w:val="01D83F23"/>
    <w:rsid w:val="01DA121B"/>
    <w:rsid w:val="01E02E8A"/>
    <w:rsid w:val="01EB6FF4"/>
    <w:rsid w:val="01EC6C1A"/>
    <w:rsid w:val="01F43D5D"/>
    <w:rsid w:val="01F53962"/>
    <w:rsid w:val="01F739C6"/>
    <w:rsid w:val="01FE284A"/>
    <w:rsid w:val="0202118C"/>
    <w:rsid w:val="020C0504"/>
    <w:rsid w:val="020F3F82"/>
    <w:rsid w:val="021337A8"/>
    <w:rsid w:val="02154F00"/>
    <w:rsid w:val="02200558"/>
    <w:rsid w:val="022C2DDE"/>
    <w:rsid w:val="024125AD"/>
    <w:rsid w:val="02424F98"/>
    <w:rsid w:val="02451830"/>
    <w:rsid w:val="024B4F65"/>
    <w:rsid w:val="02522774"/>
    <w:rsid w:val="02716397"/>
    <w:rsid w:val="02742027"/>
    <w:rsid w:val="027B1EF4"/>
    <w:rsid w:val="027D39C5"/>
    <w:rsid w:val="02836A31"/>
    <w:rsid w:val="02842B55"/>
    <w:rsid w:val="02850B1B"/>
    <w:rsid w:val="028D4134"/>
    <w:rsid w:val="028E239B"/>
    <w:rsid w:val="028E669E"/>
    <w:rsid w:val="02925D70"/>
    <w:rsid w:val="02945151"/>
    <w:rsid w:val="02994D24"/>
    <w:rsid w:val="02AA4579"/>
    <w:rsid w:val="02B452E0"/>
    <w:rsid w:val="02B7449E"/>
    <w:rsid w:val="02B93913"/>
    <w:rsid w:val="02C541E0"/>
    <w:rsid w:val="02C7326C"/>
    <w:rsid w:val="02C976C5"/>
    <w:rsid w:val="02CA2014"/>
    <w:rsid w:val="02CE36F0"/>
    <w:rsid w:val="02D253BA"/>
    <w:rsid w:val="02D664A5"/>
    <w:rsid w:val="02D70120"/>
    <w:rsid w:val="02E746B3"/>
    <w:rsid w:val="02EA0804"/>
    <w:rsid w:val="02F03F7A"/>
    <w:rsid w:val="02F04987"/>
    <w:rsid w:val="02F15A26"/>
    <w:rsid w:val="02F3072B"/>
    <w:rsid w:val="02F35039"/>
    <w:rsid w:val="02F4686A"/>
    <w:rsid w:val="02F50E1A"/>
    <w:rsid w:val="02FC365E"/>
    <w:rsid w:val="03032EA1"/>
    <w:rsid w:val="03055083"/>
    <w:rsid w:val="030A33B2"/>
    <w:rsid w:val="0312457C"/>
    <w:rsid w:val="03173E54"/>
    <w:rsid w:val="032626D8"/>
    <w:rsid w:val="03276EB0"/>
    <w:rsid w:val="03320DD5"/>
    <w:rsid w:val="03367B19"/>
    <w:rsid w:val="033F3094"/>
    <w:rsid w:val="033F5E23"/>
    <w:rsid w:val="0341739D"/>
    <w:rsid w:val="034A5312"/>
    <w:rsid w:val="035906B9"/>
    <w:rsid w:val="035A07AB"/>
    <w:rsid w:val="035F7880"/>
    <w:rsid w:val="036572E0"/>
    <w:rsid w:val="036773BE"/>
    <w:rsid w:val="036B41D2"/>
    <w:rsid w:val="03745931"/>
    <w:rsid w:val="0375270B"/>
    <w:rsid w:val="0376026A"/>
    <w:rsid w:val="03763E10"/>
    <w:rsid w:val="03795E56"/>
    <w:rsid w:val="038F00BD"/>
    <w:rsid w:val="038F07EB"/>
    <w:rsid w:val="039F6B79"/>
    <w:rsid w:val="03A054FE"/>
    <w:rsid w:val="03A634A2"/>
    <w:rsid w:val="03A710E3"/>
    <w:rsid w:val="03AB7076"/>
    <w:rsid w:val="03B75E22"/>
    <w:rsid w:val="03B93704"/>
    <w:rsid w:val="03C7124D"/>
    <w:rsid w:val="03C956D7"/>
    <w:rsid w:val="03CD065E"/>
    <w:rsid w:val="03CD0F50"/>
    <w:rsid w:val="03D96519"/>
    <w:rsid w:val="03DC76EB"/>
    <w:rsid w:val="03DD4156"/>
    <w:rsid w:val="03DF3AAC"/>
    <w:rsid w:val="03DF7C94"/>
    <w:rsid w:val="03E4053E"/>
    <w:rsid w:val="03EE2D2D"/>
    <w:rsid w:val="03EE5120"/>
    <w:rsid w:val="03F95EAB"/>
    <w:rsid w:val="03FA4378"/>
    <w:rsid w:val="040D5A59"/>
    <w:rsid w:val="040E59E0"/>
    <w:rsid w:val="04177E90"/>
    <w:rsid w:val="041B3B0D"/>
    <w:rsid w:val="041F33A4"/>
    <w:rsid w:val="04227E09"/>
    <w:rsid w:val="04256881"/>
    <w:rsid w:val="04257D27"/>
    <w:rsid w:val="042C1175"/>
    <w:rsid w:val="042E72BA"/>
    <w:rsid w:val="04361A54"/>
    <w:rsid w:val="043837D8"/>
    <w:rsid w:val="043F0FCC"/>
    <w:rsid w:val="0458216E"/>
    <w:rsid w:val="04633D2A"/>
    <w:rsid w:val="046441B2"/>
    <w:rsid w:val="0470619B"/>
    <w:rsid w:val="047264E0"/>
    <w:rsid w:val="04732D97"/>
    <w:rsid w:val="047929EC"/>
    <w:rsid w:val="047931E4"/>
    <w:rsid w:val="047B754C"/>
    <w:rsid w:val="047C330E"/>
    <w:rsid w:val="04802BB2"/>
    <w:rsid w:val="048112FB"/>
    <w:rsid w:val="048A77DB"/>
    <w:rsid w:val="048B08F7"/>
    <w:rsid w:val="04997356"/>
    <w:rsid w:val="04B3013F"/>
    <w:rsid w:val="04BA605B"/>
    <w:rsid w:val="04BB6582"/>
    <w:rsid w:val="04BF51D4"/>
    <w:rsid w:val="04C30370"/>
    <w:rsid w:val="04C369FD"/>
    <w:rsid w:val="04C87276"/>
    <w:rsid w:val="04CE7B7F"/>
    <w:rsid w:val="04D13EAB"/>
    <w:rsid w:val="04D81CE8"/>
    <w:rsid w:val="04E16ACF"/>
    <w:rsid w:val="04E92750"/>
    <w:rsid w:val="04ED1D07"/>
    <w:rsid w:val="04F33CBA"/>
    <w:rsid w:val="04FB0B72"/>
    <w:rsid w:val="05006805"/>
    <w:rsid w:val="05017788"/>
    <w:rsid w:val="050A0F30"/>
    <w:rsid w:val="051142A3"/>
    <w:rsid w:val="05150D13"/>
    <w:rsid w:val="052054D4"/>
    <w:rsid w:val="052C7639"/>
    <w:rsid w:val="05490385"/>
    <w:rsid w:val="054A7C8A"/>
    <w:rsid w:val="055D26AF"/>
    <w:rsid w:val="056534E0"/>
    <w:rsid w:val="056834A8"/>
    <w:rsid w:val="05684832"/>
    <w:rsid w:val="056C0F36"/>
    <w:rsid w:val="056E79C6"/>
    <w:rsid w:val="057A799E"/>
    <w:rsid w:val="058647BE"/>
    <w:rsid w:val="05880374"/>
    <w:rsid w:val="05881910"/>
    <w:rsid w:val="05913966"/>
    <w:rsid w:val="05926E6B"/>
    <w:rsid w:val="059F17BF"/>
    <w:rsid w:val="05A259F9"/>
    <w:rsid w:val="05A72CCC"/>
    <w:rsid w:val="05A73DC5"/>
    <w:rsid w:val="05B336D5"/>
    <w:rsid w:val="05CC2A3B"/>
    <w:rsid w:val="05CD0D9A"/>
    <w:rsid w:val="05CF249D"/>
    <w:rsid w:val="05D14319"/>
    <w:rsid w:val="05D714EA"/>
    <w:rsid w:val="05E536E6"/>
    <w:rsid w:val="05EA1C44"/>
    <w:rsid w:val="05F2445C"/>
    <w:rsid w:val="06077942"/>
    <w:rsid w:val="060A0D89"/>
    <w:rsid w:val="060C359D"/>
    <w:rsid w:val="060F3722"/>
    <w:rsid w:val="062B0B83"/>
    <w:rsid w:val="062C6587"/>
    <w:rsid w:val="062D67C8"/>
    <w:rsid w:val="06301A1B"/>
    <w:rsid w:val="0631403C"/>
    <w:rsid w:val="0633380C"/>
    <w:rsid w:val="0638362B"/>
    <w:rsid w:val="063E600A"/>
    <w:rsid w:val="06405659"/>
    <w:rsid w:val="064F5725"/>
    <w:rsid w:val="06510CDF"/>
    <w:rsid w:val="065C27A8"/>
    <w:rsid w:val="065F50DA"/>
    <w:rsid w:val="06602F2C"/>
    <w:rsid w:val="06626021"/>
    <w:rsid w:val="066D2CED"/>
    <w:rsid w:val="066E2C0B"/>
    <w:rsid w:val="06700010"/>
    <w:rsid w:val="06734EB6"/>
    <w:rsid w:val="067C24CF"/>
    <w:rsid w:val="068A1FDD"/>
    <w:rsid w:val="069002BE"/>
    <w:rsid w:val="06906B8C"/>
    <w:rsid w:val="069725BC"/>
    <w:rsid w:val="069A3A7C"/>
    <w:rsid w:val="06A24D7D"/>
    <w:rsid w:val="06A729E1"/>
    <w:rsid w:val="06AB1C7E"/>
    <w:rsid w:val="06AC05E7"/>
    <w:rsid w:val="06AF1D16"/>
    <w:rsid w:val="06AF3414"/>
    <w:rsid w:val="06B15237"/>
    <w:rsid w:val="06BA5EB2"/>
    <w:rsid w:val="06D17DB1"/>
    <w:rsid w:val="06E444B8"/>
    <w:rsid w:val="070615F0"/>
    <w:rsid w:val="07085235"/>
    <w:rsid w:val="07146D7A"/>
    <w:rsid w:val="071A4300"/>
    <w:rsid w:val="0724090E"/>
    <w:rsid w:val="072C5901"/>
    <w:rsid w:val="072D6955"/>
    <w:rsid w:val="07355298"/>
    <w:rsid w:val="073633AE"/>
    <w:rsid w:val="0738618B"/>
    <w:rsid w:val="074E1705"/>
    <w:rsid w:val="074E279C"/>
    <w:rsid w:val="075268B6"/>
    <w:rsid w:val="075C0378"/>
    <w:rsid w:val="075C613A"/>
    <w:rsid w:val="07616A73"/>
    <w:rsid w:val="0768627D"/>
    <w:rsid w:val="07774E9B"/>
    <w:rsid w:val="07886D75"/>
    <w:rsid w:val="079A77BC"/>
    <w:rsid w:val="079D6C92"/>
    <w:rsid w:val="079E20C5"/>
    <w:rsid w:val="07A757F6"/>
    <w:rsid w:val="07A92FCD"/>
    <w:rsid w:val="07AB5A16"/>
    <w:rsid w:val="07C32EAB"/>
    <w:rsid w:val="07CE7516"/>
    <w:rsid w:val="07DA5629"/>
    <w:rsid w:val="07DE3B60"/>
    <w:rsid w:val="07E54B9E"/>
    <w:rsid w:val="08010DA7"/>
    <w:rsid w:val="08033960"/>
    <w:rsid w:val="080F3123"/>
    <w:rsid w:val="082209F5"/>
    <w:rsid w:val="08220E8F"/>
    <w:rsid w:val="08242F28"/>
    <w:rsid w:val="08252E6C"/>
    <w:rsid w:val="08275EA4"/>
    <w:rsid w:val="08294CB5"/>
    <w:rsid w:val="083036B5"/>
    <w:rsid w:val="08310F19"/>
    <w:rsid w:val="08331FC1"/>
    <w:rsid w:val="083611A9"/>
    <w:rsid w:val="083901EB"/>
    <w:rsid w:val="08394081"/>
    <w:rsid w:val="083943C5"/>
    <w:rsid w:val="08395DAB"/>
    <w:rsid w:val="08404FD2"/>
    <w:rsid w:val="084A2513"/>
    <w:rsid w:val="08515651"/>
    <w:rsid w:val="08587D37"/>
    <w:rsid w:val="085D6EF2"/>
    <w:rsid w:val="085F59AE"/>
    <w:rsid w:val="086303CB"/>
    <w:rsid w:val="08674312"/>
    <w:rsid w:val="0875786E"/>
    <w:rsid w:val="0881684A"/>
    <w:rsid w:val="088C3E25"/>
    <w:rsid w:val="08927463"/>
    <w:rsid w:val="08991A5A"/>
    <w:rsid w:val="089C49FA"/>
    <w:rsid w:val="08AF073A"/>
    <w:rsid w:val="08BD5FE1"/>
    <w:rsid w:val="08BE7798"/>
    <w:rsid w:val="08C333B4"/>
    <w:rsid w:val="08C46A4F"/>
    <w:rsid w:val="08C654F8"/>
    <w:rsid w:val="08CA79C7"/>
    <w:rsid w:val="08D54B6A"/>
    <w:rsid w:val="08D73E78"/>
    <w:rsid w:val="08DB6139"/>
    <w:rsid w:val="08DD4FAE"/>
    <w:rsid w:val="08DE001E"/>
    <w:rsid w:val="08DE502C"/>
    <w:rsid w:val="08DE7E03"/>
    <w:rsid w:val="08EB2EDB"/>
    <w:rsid w:val="08ED6D3B"/>
    <w:rsid w:val="08FB16E4"/>
    <w:rsid w:val="08FB2C3C"/>
    <w:rsid w:val="08FE2EDE"/>
    <w:rsid w:val="08FE5206"/>
    <w:rsid w:val="09140F8D"/>
    <w:rsid w:val="09150DAF"/>
    <w:rsid w:val="09155095"/>
    <w:rsid w:val="091D10D0"/>
    <w:rsid w:val="09210482"/>
    <w:rsid w:val="092105FC"/>
    <w:rsid w:val="09222AB2"/>
    <w:rsid w:val="09266115"/>
    <w:rsid w:val="093303B8"/>
    <w:rsid w:val="094318A6"/>
    <w:rsid w:val="09446DB4"/>
    <w:rsid w:val="094811BB"/>
    <w:rsid w:val="094F18C1"/>
    <w:rsid w:val="0954257E"/>
    <w:rsid w:val="09583F76"/>
    <w:rsid w:val="095929D4"/>
    <w:rsid w:val="095A003F"/>
    <w:rsid w:val="095B02C8"/>
    <w:rsid w:val="09606CDC"/>
    <w:rsid w:val="09631FC1"/>
    <w:rsid w:val="09651D94"/>
    <w:rsid w:val="096F5B71"/>
    <w:rsid w:val="098A1F77"/>
    <w:rsid w:val="09915044"/>
    <w:rsid w:val="099872CF"/>
    <w:rsid w:val="09991A94"/>
    <w:rsid w:val="09A137B2"/>
    <w:rsid w:val="09A2636C"/>
    <w:rsid w:val="09A44BA0"/>
    <w:rsid w:val="09AA495F"/>
    <w:rsid w:val="09AC53C9"/>
    <w:rsid w:val="09B630C3"/>
    <w:rsid w:val="09BD4BE0"/>
    <w:rsid w:val="09C222A5"/>
    <w:rsid w:val="09C27E4D"/>
    <w:rsid w:val="09C81C8D"/>
    <w:rsid w:val="09CB6B07"/>
    <w:rsid w:val="09CC1439"/>
    <w:rsid w:val="09CD0E22"/>
    <w:rsid w:val="09CD713D"/>
    <w:rsid w:val="09FA2B3C"/>
    <w:rsid w:val="09FA772F"/>
    <w:rsid w:val="09FB6D64"/>
    <w:rsid w:val="0A030CE9"/>
    <w:rsid w:val="0A0D0EE1"/>
    <w:rsid w:val="0A1B5347"/>
    <w:rsid w:val="0A33530F"/>
    <w:rsid w:val="0A346C5C"/>
    <w:rsid w:val="0A4707FD"/>
    <w:rsid w:val="0A486965"/>
    <w:rsid w:val="0A4B2E8D"/>
    <w:rsid w:val="0A5317DF"/>
    <w:rsid w:val="0A534D83"/>
    <w:rsid w:val="0A564C39"/>
    <w:rsid w:val="0A5B0F4C"/>
    <w:rsid w:val="0A61640A"/>
    <w:rsid w:val="0A6536D8"/>
    <w:rsid w:val="0A6A580E"/>
    <w:rsid w:val="0A6B730C"/>
    <w:rsid w:val="0A7611EF"/>
    <w:rsid w:val="0A765DBA"/>
    <w:rsid w:val="0A7A1EF7"/>
    <w:rsid w:val="0A937773"/>
    <w:rsid w:val="0A987047"/>
    <w:rsid w:val="0AA05D85"/>
    <w:rsid w:val="0AAD109D"/>
    <w:rsid w:val="0ABB417A"/>
    <w:rsid w:val="0ABE47A4"/>
    <w:rsid w:val="0AC71E05"/>
    <w:rsid w:val="0ACC2910"/>
    <w:rsid w:val="0ACC3151"/>
    <w:rsid w:val="0AD014F5"/>
    <w:rsid w:val="0AD16821"/>
    <w:rsid w:val="0AD45A3C"/>
    <w:rsid w:val="0AD60B60"/>
    <w:rsid w:val="0ADC78D2"/>
    <w:rsid w:val="0ADF4793"/>
    <w:rsid w:val="0AE11813"/>
    <w:rsid w:val="0AE3323E"/>
    <w:rsid w:val="0AE3404E"/>
    <w:rsid w:val="0AEB11A6"/>
    <w:rsid w:val="0AEC3E44"/>
    <w:rsid w:val="0AEE609E"/>
    <w:rsid w:val="0AEF478A"/>
    <w:rsid w:val="0AF51E84"/>
    <w:rsid w:val="0AFC1AD5"/>
    <w:rsid w:val="0B041299"/>
    <w:rsid w:val="0B062542"/>
    <w:rsid w:val="0B0E47F4"/>
    <w:rsid w:val="0B1C17AD"/>
    <w:rsid w:val="0B283787"/>
    <w:rsid w:val="0B2D6F6E"/>
    <w:rsid w:val="0B324CD2"/>
    <w:rsid w:val="0B345DB1"/>
    <w:rsid w:val="0B363DD8"/>
    <w:rsid w:val="0B3A4657"/>
    <w:rsid w:val="0B3C5BB9"/>
    <w:rsid w:val="0B4372E2"/>
    <w:rsid w:val="0B5979A6"/>
    <w:rsid w:val="0B5A2079"/>
    <w:rsid w:val="0B5B5996"/>
    <w:rsid w:val="0B5C3E34"/>
    <w:rsid w:val="0B6075D7"/>
    <w:rsid w:val="0B627AD4"/>
    <w:rsid w:val="0B6A0BB3"/>
    <w:rsid w:val="0B735FF2"/>
    <w:rsid w:val="0B792EB2"/>
    <w:rsid w:val="0B8035EB"/>
    <w:rsid w:val="0B84164E"/>
    <w:rsid w:val="0B89731E"/>
    <w:rsid w:val="0B904412"/>
    <w:rsid w:val="0B90485D"/>
    <w:rsid w:val="0B913EDA"/>
    <w:rsid w:val="0B9C76A8"/>
    <w:rsid w:val="0BA50775"/>
    <w:rsid w:val="0BA749E5"/>
    <w:rsid w:val="0BAC24A8"/>
    <w:rsid w:val="0BAE1323"/>
    <w:rsid w:val="0BB42E0A"/>
    <w:rsid w:val="0BBA3391"/>
    <w:rsid w:val="0BD62605"/>
    <w:rsid w:val="0BDC3258"/>
    <w:rsid w:val="0BDE3581"/>
    <w:rsid w:val="0BE52963"/>
    <w:rsid w:val="0BE85349"/>
    <w:rsid w:val="0BF57A28"/>
    <w:rsid w:val="0BF845E9"/>
    <w:rsid w:val="0BFA1A53"/>
    <w:rsid w:val="0C074F06"/>
    <w:rsid w:val="0C0B1E5B"/>
    <w:rsid w:val="0C146F99"/>
    <w:rsid w:val="0C1A584B"/>
    <w:rsid w:val="0C1F5892"/>
    <w:rsid w:val="0C2275D5"/>
    <w:rsid w:val="0C2D70F9"/>
    <w:rsid w:val="0C342312"/>
    <w:rsid w:val="0C363AA9"/>
    <w:rsid w:val="0C456335"/>
    <w:rsid w:val="0C53740C"/>
    <w:rsid w:val="0C563E70"/>
    <w:rsid w:val="0C631545"/>
    <w:rsid w:val="0C6E187C"/>
    <w:rsid w:val="0C7D4D8F"/>
    <w:rsid w:val="0C80052F"/>
    <w:rsid w:val="0C8C06D3"/>
    <w:rsid w:val="0C900DC2"/>
    <w:rsid w:val="0C980884"/>
    <w:rsid w:val="0C9961AF"/>
    <w:rsid w:val="0C9A50FF"/>
    <w:rsid w:val="0C9B3EE0"/>
    <w:rsid w:val="0C9C2E80"/>
    <w:rsid w:val="0CA20B1F"/>
    <w:rsid w:val="0CA44E41"/>
    <w:rsid w:val="0CA77405"/>
    <w:rsid w:val="0CA83489"/>
    <w:rsid w:val="0CA96FA5"/>
    <w:rsid w:val="0CAE5B1B"/>
    <w:rsid w:val="0CB224D8"/>
    <w:rsid w:val="0CB31FF7"/>
    <w:rsid w:val="0CB45BFD"/>
    <w:rsid w:val="0CB7503A"/>
    <w:rsid w:val="0CB75099"/>
    <w:rsid w:val="0CB80D6E"/>
    <w:rsid w:val="0CBF360E"/>
    <w:rsid w:val="0CC10497"/>
    <w:rsid w:val="0CC30BC5"/>
    <w:rsid w:val="0CC42150"/>
    <w:rsid w:val="0CC45545"/>
    <w:rsid w:val="0CC71781"/>
    <w:rsid w:val="0CCB0FDF"/>
    <w:rsid w:val="0CDC1817"/>
    <w:rsid w:val="0CDC515C"/>
    <w:rsid w:val="0D0B2A13"/>
    <w:rsid w:val="0D112021"/>
    <w:rsid w:val="0D12133D"/>
    <w:rsid w:val="0D1F7151"/>
    <w:rsid w:val="0D200D54"/>
    <w:rsid w:val="0D2B7DB2"/>
    <w:rsid w:val="0D3152D9"/>
    <w:rsid w:val="0D354A50"/>
    <w:rsid w:val="0D384916"/>
    <w:rsid w:val="0D427E08"/>
    <w:rsid w:val="0D444358"/>
    <w:rsid w:val="0D4A1977"/>
    <w:rsid w:val="0D4B602E"/>
    <w:rsid w:val="0D511FCD"/>
    <w:rsid w:val="0D52698E"/>
    <w:rsid w:val="0D583C5F"/>
    <w:rsid w:val="0D5D658F"/>
    <w:rsid w:val="0D6029A5"/>
    <w:rsid w:val="0D6063D4"/>
    <w:rsid w:val="0D665CD7"/>
    <w:rsid w:val="0D667E20"/>
    <w:rsid w:val="0D6B6C90"/>
    <w:rsid w:val="0D7170F8"/>
    <w:rsid w:val="0D922931"/>
    <w:rsid w:val="0D95263C"/>
    <w:rsid w:val="0DA81B9F"/>
    <w:rsid w:val="0DAD79F2"/>
    <w:rsid w:val="0DB403B1"/>
    <w:rsid w:val="0DB47CEC"/>
    <w:rsid w:val="0DBB3CA5"/>
    <w:rsid w:val="0DBB4EDD"/>
    <w:rsid w:val="0DC37BF2"/>
    <w:rsid w:val="0DC436B0"/>
    <w:rsid w:val="0DC9693F"/>
    <w:rsid w:val="0DCC1715"/>
    <w:rsid w:val="0DD82C48"/>
    <w:rsid w:val="0DDB6385"/>
    <w:rsid w:val="0DE057D2"/>
    <w:rsid w:val="0DF024FC"/>
    <w:rsid w:val="0DF0632D"/>
    <w:rsid w:val="0DF475E0"/>
    <w:rsid w:val="0E0E09E4"/>
    <w:rsid w:val="0E0E0AE3"/>
    <w:rsid w:val="0E184477"/>
    <w:rsid w:val="0E1A4501"/>
    <w:rsid w:val="0E1A78B5"/>
    <w:rsid w:val="0E21196E"/>
    <w:rsid w:val="0E227E98"/>
    <w:rsid w:val="0E27140B"/>
    <w:rsid w:val="0E275D7B"/>
    <w:rsid w:val="0E2D4D70"/>
    <w:rsid w:val="0E3B2663"/>
    <w:rsid w:val="0E443DBA"/>
    <w:rsid w:val="0E465F52"/>
    <w:rsid w:val="0E576A70"/>
    <w:rsid w:val="0E587DB8"/>
    <w:rsid w:val="0E6B437E"/>
    <w:rsid w:val="0E6B6A22"/>
    <w:rsid w:val="0E6F53AB"/>
    <w:rsid w:val="0E701F1A"/>
    <w:rsid w:val="0E793535"/>
    <w:rsid w:val="0E795DEE"/>
    <w:rsid w:val="0E7B3260"/>
    <w:rsid w:val="0E804638"/>
    <w:rsid w:val="0E854758"/>
    <w:rsid w:val="0EA50BFC"/>
    <w:rsid w:val="0EAB0282"/>
    <w:rsid w:val="0EC370FE"/>
    <w:rsid w:val="0EC4408A"/>
    <w:rsid w:val="0ECD6BD5"/>
    <w:rsid w:val="0EDA3DE0"/>
    <w:rsid w:val="0EE241B0"/>
    <w:rsid w:val="0EE470B9"/>
    <w:rsid w:val="0EE51F3F"/>
    <w:rsid w:val="0EE67C37"/>
    <w:rsid w:val="0EE96C61"/>
    <w:rsid w:val="0EEF6278"/>
    <w:rsid w:val="0F043F0A"/>
    <w:rsid w:val="0F070719"/>
    <w:rsid w:val="0F0E340F"/>
    <w:rsid w:val="0F110F65"/>
    <w:rsid w:val="0F126FC2"/>
    <w:rsid w:val="0F1821BC"/>
    <w:rsid w:val="0F1F71AB"/>
    <w:rsid w:val="0F206FE9"/>
    <w:rsid w:val="0F246E43"/>
    <w:rsid w:val="0F2F2F21"/>
    <w:rsid w:val="0F303168"/>
    <w:rsid w:val="0F3346BD"/>
    <w:rsid w:val="0F356B4F"/>
    <w:rsid w:val="0F3E6D6B"/>
    <w:rsid w:val="0F521390"/>
    <w:rsid w:val="0F551890"/>
    <w:rsid w:val="0F5A4BDF"/>
    <w:rsid w:val="0F5B58BB"/>
    <w:rsid w:val="0F6735DF"/>
    <w:rsid w:val="0F6A4B85"/>
    <w:rsid w:val="0F716691"/>
    <w:rsid w:val="0F735DB2"/>
    <w:rsid w:val="0F7840D6"/>
    <w:rsid w:val="0F7B2D75"/>
    <w:rsid w:val="0F873A0E"/>
    <w:rsid w:val="0F883C70"/>
    <w:rsid w:val="0F8B6CB6"/>
    <w:rsid w:val="0F9177B5"/>
    <w:rsid w:val="0F9A3FA1"/>
    <w:rsid w:val="0F9E606C"/>
    <w:rsid w:val="0FA17F55"/>
    <w:rsid w:val="0FA35FFE"/>
    <w:rsid w:val="0FA821B8"/>
    <w:rsid w:val="0FAE546F"/>
    <w:rsid w:val="0FB50512"/>
    <w:rsid w:val="0FB57FA4"/>
    <w:rsid w:val="0FB8781F"/>
    <w:rsid w:val="0FC24482"/>
    <w:rsid w:val="0FC754B6"/>
    <w:rsid w:val="0FCD46F4"/>
    <w:rsid w:val="0FCE3065"/>
    <w:rsid w:val="0FE107E2"/>
    <w:rsid w:val="0FE336DE"/>
    <w:rsid w:val="0FED1D3E"/>
    <w:rsid w:val="10026084"/>
    <w:rsid w:val="10065756"/>
    <w:rsid w:val="100A69A4"/>
    <w:rsid w:val="100E17EE"/>
    <w:rsid w:val="10140347"/>
    <w:rsid w:val="101B54B3"/>
    <w:rsid w:val="101C6175"/>
    <w:rsid w:val="102E7ECD"/>
    <w:rsid w:val="104210EE"/>
    <w:rsid w:val="10444B77"/>
    <w:rsid w:val="10447AF9"/>
    <w:rsid w:val="104835D9"/>
    <w:rsid w:val="10495D6E"/>
    <w:rsid w:val="104C1069"/>
    <w:rsid w:val="10513C3F"/>
    <w:rsid w:val="10541F36"/>
    <w:rsid w:val="105D2D1E"/>
    <w:rsid w:val="10623D8F"/>
    <w:rsid w:val="10625663"/>
    <w:rsid w:val="106737C7"/>
    <w:rsid w:val="10703686"/>
    <w:rsid w:val="1075160B"/>
    <w:rsid w:val="107760A9"/>
    <w:rsid w:val="10780D89"/>
    <w:rsid w:val="107B52AA"/>
    <w:rsid w:val="107D625B"/>
    <w:rsid w:val="107E75D8"/>
    <w:rsid w:val="10805AB8"/>
    <w:rsid w:val="108161A3"/>
    <w:rsid w:val="1089301A"/>
    <w:rsid w:val="108B29C7"/>
    <w:rsid w:val="10901F21"/>
    <w:rsid w:val="10974AA9"/>
    <w:rsid w:val="10A21388"/>
    <w:rsid w:val="10A60889"/>
    <w:rsid w:val="10AA391A"/>
    <w:rsid w:val="10B27075"/>
    <w:rsid w:val="10B27B37"/>
    <w:rsid w:val="10B33FFC"/>
    <w:rsid w:val="10BA25C0"/>
    <w:rsid w:val="10BE4FAA"/>
    <w:rsid w:val="10C02E80"/>
    <w:rsid w:val="10C121EA"/>
    <w:rsid w:val="10C2285B"/>
    <w:rsid w:val="10C54276"/>
    <w:rsid w:val="10D27169"/>
    <w:rsid w:val="10D309E2"/>
    <w:rsid w:val="10D621B1"/>
    <w:rsid w:val="10D81E5C"/>
    <w:rsid w:val="10DA39AB"/>
    <w:rsid w:val="10DE746C"/>
    <w:rsid w:val="10E154B4"/>
    <w:rsid w:val="10EB7A42"/>
    <w:rsid w:val="10F16967"/>
    <w:rsid w:val="10F21B48"/>
    <w:rsid w:val="10F61CDD"/>
    <w:rsid w:val="10F91FDE"/>
    <w:rsid w:val="10F941E9"/>
    <w:rsid w:val="10FD39C4"/>
    <w:rsid w:val="11083015"/>
    <w:rsid w:val="110A357B"/>
    <w:rsid w:val="110D2E2E"/>
    <w:rsid w:val="1113498F"/>
    <w:rsid w:val="11145DE6"/>
    <w:rsid w:val="111A2147"/>
    <w:rsid w:val="112252CB"/>
    <w:rsid w:val="11360EF9"/>
    <w:rsid w:val="113641BB"/>
    <w:rsid w:val="11390D90"/>
    <w:rsid w:val="113B0B58"/>
    <w:rsid w:val="113D4F12"/>
    <w:rsid w:val="113D775B"/>
    <w:rsid w:val="11410876"/>
    <w:rsid w:val="114608E7"/>
    <w:rsid w:val="114F3D65"/>
    <w:rsid w:val="115347BC"/>
    <w:rsid w:val="11545887"/>
    <w:rsid w:val="11597C64"/>
    <w:rsid w:val="11602A9E"/>
    <w:rsid w:val="116228E3"/>
    <w:rsid w:val="11631325"/>
    <w:rsid w:val="116345A4"/>
    <w:rsid w:val="11667833"/>
    <w:rsid w:val="11687433"/>
    <w:rsid w:val="1178450A"/>
    <w:rsid w:val="117B53DF"/>
    <w:rsid w:val="117B71D3"/>
    <w:rsid w:val="11845F00"/>
    <w:rsid w:val="11885DD3"/>
    <w:rsid w:val="118A58E4"/>
    <w:rsid w:val="118C56EA"/>
    <w:rsid w:val="118F0DB3"/>
    <w:rsid w:val="11916F88"/>
    <w:rsid w:val="11A51BB6"/>
    <w:rsid w:val="11AC6860"/>
    <w:rsid w:val="11B1238B"/>
    <w:rsid w:val="11B62D0B"/>
    <w:rsid w:val="11BE6E3E"/>
    <w:rsid w:val="11C24AE6"/>
    <w:rsid w:val="11C52A21"/>
    <w:rsid w:val="11C75474"/>
    <w:rsid w:val="11D26FDB"/>
    <w:rsid w:val="11D435B9"/>
    <w:rsid w:val="11D8409F"/>
    <w:rsid w:val="11D95083"/>
    <w:rsid w:val="11DD2AAB"/>
    <w:rsid w:val="11DE26F2"/>
    <w:rsid w:val="11DF6987"/>
    <w:rsid w:val="11EA23C8"/>
    <w:rsid w:val="11EB5C95"/>
    <w:rsid w:val="11ED6242"/>
    <w:rsid w:val="11F27C95"/>
    <w:rsid w:val="12010E7D"/>
    <w:rsid w:val="120506CD"/>
    <w:rsid w:val="12075A2C"/>
    <w:rsid w:val="120A0C4D"/>
    <w:rsid w:val="120A38DA"/>
    <w:rsid w:val="12101A57"/>
    <w:rsid w:val="12193170"/>
    <w:rsid w:val="12193813"/>
    <w:rsid w:val="121D6AE3"/>
    <w:rsid w:val="121F75CC"/>
    <w:rsid w:val="12271CB0"/>
    <w:rsid w:val="122C1A12"/>
    <w:rsid w:val="1232130B"/>
    <w:rsid w:val="12330478"/>
    <w:rsid w:val="12395D63"/>
    <w:rsid w:val="12401AD9"/>
    <w:rsid w:val="124038C8"/>
    <w:rsid w:val="12421E9D"/>
    <w:rsid w:val="1248421F"/>
    <w:rsid w:val="12571C4D"/>
    <w:rsid w:val="125C09FF"/>
    <w:rsid w:val="12657F0C"/>
    <w:rsid w:val="126830F6"/>
    <w:rsid w:val="126B5207"/>
    <w:rsid w:val="126F57E1"/>
    <w:rsid w:val="12760E78"/>
    <w:rsid w:val="127673DB"/>
    <w:rsid w:val="127755C8"/>
    <w:rsid w:val="127E0189"/>
    <w:rsid w:val="12810A1D"/>
    <w:rsid w:val="12854B81"/>
    <w:rsid w:val="12927837"/>
    <w:rsid w:val="12A30BAA"/>
    <w:rsid w:val="12A709D5"/>
    <w:rsid w:val="12A867C5"/>
    <w:rsid w:val="12B56515"/>
    <w:rsid w:val="12BE11B2"/>
    <w:rsid w:val="12BE1828"/>
    <w:rsid w:val="12C10F70"/>
    <w:rsid w:val="12C21464"/>
    <w:rsid w:val="12C40A29"/>
    <w:rsid w:val="12C42DA1"/>
    <w:rsid w:val="12C45CF0"/>
    <w:rsid w:val="12C948D2"/>
    <w:rsid w:val="12CB14EE"/>
    <w:rsid w:val="12CE6902"/>
    <w:rsid w:val="12D54B1A"/>
    <w:rsid w:val="12EE0F39"/>
    <w:rsid w:val="12EF155A"/>
    <w:rsid w:val="12F17350"/>
    <w:rsid w:val="12F712FB"/>
    <w:rsid w:val="12FA0E2E"/>
    <w:rsid w:val="12FF7A62"/>
    <w:rsid w:val="13037A88"/>
    <w:rsid w:val="133844CA"/>
    <w:rsid w:val="1347596A"/>
    <w:rsid w:val="13477178"/>
    <w:rsid w:val="134B5A55"/>
    <w:rsid w:val="134C0AA1"/>
    <w:rsid w:val="134F5D9B"/>
    <w:rsid w:val="136041BC"/>
    <w:rsid w:val="136F4FE6"/>
    <w:rsid w:val="13713F6F"/>
    <w:rsid w:val="13762A14"/>
    <w:rsid w:val="13790756"/>
    <w:rsid w:val="137B6EE7"/>
    <w:rsid w:val="137E2E27"/>
    <w:rsid w:val="138C25C7"/>
    <w:rsid w:val="138E61F6"/>
    <w:rsid w:val="138E741D"/>
    <w:rsid w:val="138F279E"/>
    <w:rsid w:val="1390357D"/>
    <w:rsid w:val="139670E5"/>
    <w:rsid w:val="13970D93"/>
    <w:rsid w:val="139F1C24"/>
    <w:rsid w:val="13A023E7"/>
    <w:rsid w:val="13A04270"/>
    <w:rsid w:val="13A86C77"/>
    <w:rsid w:val="13A90344"/>
    <w:rsid w:val="13A9454D"/>
    <w:rsid w:val="13B35BBD"/>
    <w:rsid w:val="13BF3D28"/>
    <w:rsid w:val="13C32466"/>
    <w:rsid w:val="13C77F07"/>
    <w:rsid w:val="13CE4E2F"/>
    <w:rsid w:val="13CF48B4"/>
    <w:rsid w:val="13E45E4B"/>
    <w:rsid w:val="13F211C8"/>
    <w:rsid w:val="13F5027E"/>
    <w:rsid w:val="13F57229"/>
    <w:rsid w:val="13F60043"/>
    <w:rsid w:val="13F63AC9"/>
    <w:rsid w:val="13FF4761"/>
    <w:rsid w:val="1401651E"/>
    <w:rsid w:val="14065625"/>
    <w:rsid w:val="14127CF3"/>
    <w:rsid w:val="1416357F"/>
    <w:rsid w:val="14175C6D"/>
    <w:rsid w:val="14182B9E"/>
    <w:rsid w:val="141A193D"/>
    <w:rsid w:val="14211963"/>
    <w:rsid w:val="142160CA"/>
    <w:rsid w:val="142E4E6B"/>
    <w:rsid w:val="14332094"/>
    <w:rsid w:val="143B554F"/>
    <w:rsid w:val="144128ED"/>
    <w:rsid w:val="144D721A"/>
    <w:rsid w:val="14504C78"/>
    <w:rsid w:val="14552700"/>
    <w:rsid w:val="1455301F"/>
    <w:rsid w:val="145E0ED6"/>
    <w:rsid w:val="145F4E9E"/>
    <w:rsid w:val="1468041E"/>
    <w:rsid w:val="146A5814"/>
    <w:rsid w:val="146D4E79"/>
    <w:rsid w:val="1479121F"/>
    <w:rsid w:val="147C1504"/>
    <w:rsid w:val="148112AD"/>
    <w:rsid w:val="14933736"/>
    <w:rsid w:val="149D19D1"/>
    <w:rsid w:val="14AA1497"/>
    <w:rsid w:val="14AD2447"/>
    <w:rsid w:val="14BD0C90"/>
    <w:rsid w:val="14BD7435"/>
    <w:rsid w:val="14D41B03"/>
    <w:rsid w:val="14E11E90"/>
    <w:rsid w:val="14EC7262"/>
    <w:rsid w:val="14F50637"/>
    <w:rsid w:val="14F56962"/>
    <w:rsid w:val="14FD3DC3"/>
    <w:rsid w:val="15052F44"/>
    <w:rsid w:val="1513143F"/>
    <w:rsid w:val="152446F6"/>
    <w:rsid w:val="15274A34"/>
    <w:rsid w:val="152C74BF"/>
    <w:rsid w:val="152E54C4"/>
    <w:rsid w:val="1535555F"/>
    <w:rsid w:val="15382813"/>
    <w:rsid w:val="154B27A9"/>
    <w:rsid w:val="154B6CF6"/>
    <w:rsid w:val="15516306"/>
    <w:rsid w:val="155B06BC"/>
    <w:rsid w:val="155B6FCC"/>
    <w:rsid w:val="15620F8B"/>
    <w:rsid w:val="156514F3"/>
    <w:rsid w:val="156B264F"/>
    <w:rsid w:val="15707694"/>
    <w:rsid w:val="157477F0"/>
    <w:rsid w:val="157839EE"/>
    <w:rsid w:val="157F4B83"/>
    <w:rsid w:val="15864057"/>
    <w:rsid w:val="158A2F64"/>
    <w:rsid w:val="158C53F6"/>
    <w:rsid w:val="15946EC2"/>
    <w:rsid w:val="1594709F"/>
    <w:rsid w:val="159B1410"/>
    <w:rsid w:val="159D2E6C"/>
    <w:rsid w:val="15A412DF"/>
    <w:rsid w:val="15A625C0"/>
    <w:rsid w:val="15A70541"/>
    <w:rsid w:val="15A7643A"/>
    <w:rsid w:val="15AD4348"/>
    <w:rsid w:val="15AD7612"/>
    <w:rsid w:val="15B96153"/>
    <w:rsid w:val="15BC619F"/>
    <w:rsid w:val="15BD0132"/>
    <w:rsid w:val="15BF618A"/>
    <w:rsid w:val="15C40EFF"/>
    <w:rsid w:val="15CA097E"/>
    <w:rsid w:val="15D33940"/>
    <w:rsid w:val="15D92955"/>
    <w:rsid w:val="15F5535B"/>
    <w:rsid w:val="15F569FA"/>
    <w:rsid w:val="15F656C7"/>
    <w:rsid w:val="15F85F00"/>
    <w:rsid w:val="15F969EC"/>
    <w:rsid w:val="16005D04"/>
    <w:rsid w:val="1607152F"/>
    <w:rsid w:val="160D7883"/>
    <w:rsid w:val="160E7A4D"/>
    <w:rsid w:val="16104DB0"/>
    <w:rsid w:val="1613433D"/>
    <w:rsid w:val="16200AF2"/>
    <w:rsid w:val="162A2BA0"/>
    <w:rsid w:val="162E270B"/>
    <w:rsid w:val="162E2ADD"/>
    <w:rsid w:val="16313AA6"/>
    <w:rsid w:val="163267A4"/>
    <w:rsid w:val="163C0B35"/>
    <w:rsid w:val="16405266"/>
    <w:rsid w:val="164561DB"/>
    <w:rsid w:val="1651617C"/>
    <w:rsid w:val="165A2EC2"/>
    <w:rsid w:val="16672683"/>
    <w:rsid w:val="166852CC"/>
    <w:rsid w:val="16696EE3"/>
    <w:rsid w:val="16713663"/>
    <w:rsid w:val="167518D2"/>
    <w:rsid w:val="167B69FF"/>
    <w:rsid w:val="168864E9"/>
    <w:rsid w:val="16900241"/>
    <w:rsid w:val="16907088"/>
    <w:rsid w:val="1697702E"/>
    <w:rsid w:val="169A4327"/>
    <w:rsid w:val="169D4FCC"/>
    <w:rsid w:val="16A26D59"/>
    <w:rsid w:val="16A31912"/>
    <w:rsid w:val="16A52825"/>
    <w:rsid w:val="16A56817"/>
    <w:rsid w:val="16A60389"/>
    <w:rsid w:val="16AC66DD"/>
    <w:rsid w:val="16AD326E"/>
    <w:rsid w:val="16B06BAD"/>
    <w:rsid w:val="16B17712"/>
    <w:rsid w:val="16B95CF7"/>
    <w:rsid w:val="16BC6189"/>
    <w:rsid w:val="16C42B77"/>
    <w:rsid w:val="16D55B33"/>
    <w:rsid w:val="16D74218"/>
    <w:rsid w:val="16DD2E8B"/>
    <w:rsid w:val="16E376E7"/>
    <w:rsid w:val="16E40C30"/>
    <w:rsid w:val="16E72981"/>
    <w:rsid w:val="16EB66D9"/>
    <w:rsid w:val="16EE35CD"/>
    <w:rsid w:val="16F47BF5"/>
    <w:rsid w:val="16F500A9"/>
    <w:rsid w:val="16F872C3"/>
    <w:rsid w:val="16FA06E3"/>
    <w:rsid w:val="170167F2"/>
    <w:rsid w:val="17035AAC"/>
    <w:rsid w:val="17054499"/>
    <w:rsid w:val="170B0BD9"/>
    <w:rsid w:val="170D5EDA"/>
    <w:rsid w:val="17182913"/>
    <w:rsid w:val="17197EC3"/>
    <w:rsid w:val="171E2D1A"/>
    <w:rsid w:val="172E1BBE"/>
    <w:rsid w:val="17377B8C"/>
    <w:rsid w:val="173A6824"/>
    <w:rsid w:val="173B1FA1"/>
    <w:rsid w:val="173C594E"/>
    <w:rsid w:val="173D1596"/>
    <w:rsid w:val="17503F57"/>
    <w:rsid w:val="17505DD6"/>
    <w:rsid w:val="17586CB0"/>
    <w:rsid w:val="17596CA9"/>
    <w:rsid w:val="17600681"/>
    <w:rsid w:val="17665D9F"/>
    <w:rsid w:val="176958FE"/>
    <w:rsid w:val="17696EA4"/>
    <w:rsid w:val="17795030"/>
    <w:rsid w:val="177B0627"/>
    <w:rsid w:val="177D3C16"/>
    <w:rsid w:val="178501CB"/>
    <w:rsid w:val="178A042D"/>
    <w:rsid w:val="178A1F82"/>
    <w:rsid w:val="17916104"/>
    <w:rsid w:val="17920EA7"/>
    <w:rsid w:val="1797450B"/>
    <w:rsid w:val="17985148"/>
    <w:rsid w:val="17A644BF"/>
    <w:rsid w:val="17A92F07"/>
    <w:rsid w:val="17B23E0F"/>
    <w:rsid w:val="17B31B32"/>
    <w:rsid w:val="17B80549"/>
    <w:rsid w:val="17C063A0"/>
    <w:rsid w:val="17C16366"/>
    <w:rsid w:val="17C76A67"/>
    <w:rsid w:val="17CA22FD"/>
    <w:rsid w:val="17CF3A14"/>
    <w:rsid w:val="17DA0F7A"/>
    <w:rsid w:val="17DC2D7F"/>
    <w:rsid w:val="17E95276"/>
    <w:rsid w:val="17EA38A1"/>
    <w:rsid w:val="17EB77A3"/>
    <w:rsid w:val="17EC5E41"/>
    <w:rsid w:val="17F8667B"/>
    <w:rsid w:val="18060D81"/>
    <w:rsid w:val="1806537C"/>
    <w:rsid w:val="18066C18"/>
    <w:rsid w:val="1809630E"/>
    <w:rsid w:val="181C2683"/>
    <w:rsid w:val="181E4167"/>
    <w:rsid w:val="18324998"/>
    <w:rsid w:val="18341D76"/>
    <w:rsid w:val="18351C27"/>
    <w:rsid w:val="18553A22"/>
    <w:rsid w:val="18607956"/>
    <w:rsid w:val="1866144B"/>
    <w:rsid w:val="186E420E"/>
    <w:rsid w:val="187941B7"/>
    <w:rsid w:val="187A14AA"/>
    <w:rsid w:val="187B7B4F"/>
    <w:rsid w:val="1887188F"/>
    <w:rsid w:val="18935E66"/>
    <w:rsid w:val="18A35548"/>
    <w:rsid w:val="18A63203"/>
    <w:rsid w:val="18A77689"/>
    <w:rsid w:val="18A816B2"/>
    <w:rsid w:val="18AC4CDE"/>
    <w:rsid w:val="18B25B64"/>
    <w:rsid w:val="18B8431F"/>
    <w:rsid w:val="18B90C48"/>
    <w:rsid w:val="18BC4ADF"/>
    <w:rsid w:val="18BD1521"/>
    <w:rsid w:val="18BD2E66"/>
    <w:rsid w:val="18BE7EAB"/>
    <w:rsid w:val="18CF2450"/>
    <w:rsid w:val="18D7372F"/>
    <w:rsid w:val="18DA12E6"/>
    <w:rsid w:val="18DD12E4"/>
    <w:rsid w:val="18E261B8"/>
    <w:rsid w:val="18E62F4B"/>
    <w:rsid w:val="18E85386"/>
    <w:rsid w:val="18FC503B"/>
    <w:rsid w:val="19027C40"/>
    <w:rsid w:val="19087B90"/>
    <w:rsid w:val="190948C3"/>
    <w:rsid w:val="190E3326"/>
    <w:rsid w:val="190E3538"/>
    <w:rsid w:val="19164D1E"/>
    <w:rsid w:val="191C588D"/>
    <w:rsid w:val="192502DE"/>
    <w:rsid w:val="1927395B"/>
    <w:rsid w:val="192D514C"/>
    <w:rsid w:val="193544CD"/>
    <w:rsid w:val="19443AA2"/>
    <w:rsid w:val="1945355B"/>
    <w:rsid w:val="194817FC"/>
    <w:rsid w:val="194A0D45"/>
    <w:rsid w:val="194A2ADB"/>
    <w:rsid w:val="195159CB"/>
    <w:rsid w:val="195961D5"/>
    <w:rsid w:val="195C14E8"/>
    <w:rsid w:val="196515C3"/>
    <w:rsid w:val="197859DA"/>
    <w:rsid w:val="1980769C"/>
    <w:rsid w:val="19884F66"/>
    <w:rsid w:val="198F181A"/>
    <w:rsid w:val="19917CFC"/>
    <w:rsid w:val="1997576B"/>
    <w:rsid w:val="1998697F"/>
    <w:rsid w:val="199A20B4"/>
    <w:rsid w:val="19A71B82"/>
    <w:rsid w:val="19B84C88"/>
    <w:rsid w:val="19C6694E"/>
    <w:rsid w:val="19CC0DE5"/>
    <w:rsid w:val="19D11E61"/>
    <w:rsid w:val="19D5618C"/>
    <w:rsid w:val="19E22401"/>
    <w:rsid w:val="19E23808"/>
    <w:rsid w:val="19F44B16"/>
    <w:rsid w:val="19F538D5"/>
    <w:rsid w:val="1A00532F"/>
    <w:rsid w:val="1A040FBD"/>
    <w:rsid w:val="1A067DCA"/>
    <w:rsid w:val="1A102A1C"/>
    <w:rsid w:val="1A13214F"/>
    <w:rsid w:val="1A434C13"/>
    <w:rsid w:val="1A4E18BB"/>
    <w:rsid w:val="1A5C550E"/>
    <w:rsid w:val="1A5E5759"/>
    <w:rsid w:val="1A61514E"/>
    <w:rsid w:val="1A624E9D"/>
    <w:rsid w:val="1A6F769D"/>
    <w:rsid w:val="1A712AE5"/>
    <w:rsid w:val="1A74386E"/>
    <w:rsid w:val="1A783427"/>
    <w:rsid w:val="1A7B0419"/>
    <w:rsid w:val="1A8A143B"/>
    <w:rsid w:val="1A954C9C"/>
    <w:rsid w:val="1AA67BD3"/>
    <w:rsid w:val="1AC70097"/>
    <w:rsid w:val="1ACC39D6"/>
    <w:rsid w:val="1ADE0868"/>
    <w:rsid w:val="1AF7489C"/>
    <w:rsid w:val="1AF86B17"/>
    <w:rsid w:val="1AFA3523"/>
    <w:rsid w:val="1AFD3AEA"/>
    <w:rsid w:val="1B05238D"/>
    <w:rsid w:val="1B13587B"/>
    <w:rsid w:val="1B1D44BA"/>
    <w:rsid w:val="1B2C07D2"/>
    <w:rsid w:val="1B2C5EE0"/>
    <w:rsid w:val="1B33077D"/>
    <w:rsid w:val="1B3604D3"/>
    <w:rsid w:val="1B364D11"/>
    <w:rsid w:val="1B3865C6"/>
    <w:rsid w:val="1B3E5EDE"/>
    <w:rsid w:val="1B433153"/>
    <w:rsid w:val="1B467529"/>
    <w:rsid w:val="1B4B00CA"/>
    <w:rsid w:val="1B566C78"/>
    <w:rsid w:val="1B5F1247"/>
    <w:rsid w:val="1B6307EA"/>
    <w:rsid w:val="1B717940"/>
    <w:rsid w:val="1B79696C"/>
    <w:rsid w:val="1B7E1824"/>
    <w:rsid w:val="1B825166"/>
    <w:rsid w:val="1B890C23"/>
    <w:rsid w:val="1B9411FC"/>
    <w:rsid w:val="1B972987"/>
    <w:rsid w:val="1B9D6CE8"/>
    <w:rsid w:val="1BA63F57"/>
    <w:rsid w:val="1BA866D1"/>
    <w:rsid w:val="1BBB422B"/>
    <w:rsid w:val="1BC600B5"/>
    <w:rsid w:val="1BCD55F8"/>
    <w:rsid w:val="1BD1784D"/>
    <w:rsid w:val="1BE011AE"/>
    <w:rsid w:val="1BE02AAF"/>
    <w:rsid w:val="1BE30F90"/>
    <w:rsid w:val="1BE31093"/>
    <w:rsid w:val="1BE956C8"/>
    <w:rsid w:val="1C022294"/>
    <w:rsid w:val="1C0B35D4"/>
    <w:rsid w:val="1C12573D"/>
    <w:rsid w:val="1C1D1EE2"/>
    <w:rsid w:val="1C1E2D21"/>
    <w:rsid w:val="1C234861"/>
    <w:rsid w:val="1C2E319B"/>
    <w:rsid w:val="1C3477C5"/>
    <w:rsid w:val="1C4F6563"/>
    <w:rsid w:val="1C545F3D"/>
    <w:rsid w:val="1C556488"/>
    <w:rsid w:val="1C563FE3"/>
    <w:rsid w:val="1C5A182A"/>
    <w:rsid w:val="1C612884"/>
    <w:rsid w:val="1C62402E"/>
    <w:rsid w:val="1C62587C"/>
    <w:rsid w:val="1C6818E0"/>
    <w:rsid w:val="1C6F3BF6"/>
    <w:rsid w:val="1C722E7E"/>
    <w:rsid w:val="1C784A9F"/>
    <w:rsid w:val="1C7D008B"/>
    <w:rsid w:val="1C7D2EB6"/>
    <w:rsid w:val="1C805B43"/>
    <w:rsid w:val="1C852BB0"/>
    <w:rsid w:val="1C8D54A8"/>
    <w:rsid w:val="1C8D59DD"/>
    <w:rsid w:val="1C8E63A1"/>
    <w:rsid w:val="1C9651FD"/>
    <w:rsid w:val="1C9C41C6"/>
    <w:rsid w:val="1CA42FB6"/>
    <w:rsid w:val="1CAF4AE5"/>
    <w:rsid w:val="1CB21A29"/>
    <w:rsid w:val="1CCB32EE"/>
    <w:rsid w:val="1CCD4A46"/>
    <w:rsid w:val="1CD23361"/>
    <w:rsid w:val="1CD35882"/>
    <w:rsid w:val="1CE302F7"/>
    <w:rsid w:val="1CEC4F96"/>
    <w:rsid w:val="1CF139EE"/>
    <w:rsid w:val="1CF13B49"/>
    <w:rsid w:val="1CF52075"/>
    <w:rsid w:val="1CF70EE3"/>
    <w:rsid w:val="1CFE7E6D"/>
    <w:rsid w:val="1D011F4C"/>
    <w:rsid w:val="1D0D1F95"/>
    <w:rsid w:val="1D1C7AC2"/>
    <w:rsid w:val="1D1D6A85"/>
    <w:rsid w:val="1D207BFC"/>
    <w:rsid w:val="1D230741"/>
    <w:rsid w:val="1D2F0DCA"/>
    <w:rsid w:val="1D397D96"/>
    <w:rsid w:val="1D3A5DFA"/>
    <w:rsid w:val="1D3E30CF"/>
    <w:rsid w:val="1D3E57BA"/>
    <w:rsid w:val="1D3F5BF4"/>
    <w:rsid w:val="1D49558F"/>
    <w:rsid w:val="1D4B1AFF"/>
    <w:rsid w:val="1D4B4B5A"/>
    <w:rsid w:val="1D5350C2"/>
    <w:rsid w:val="1D584348"/>
    <w:rsid w:val="1D597DDF"/>
    <w:rsid w:val="1D5D209F"/>
    <w:rsid w:val="1D6D4785"/>
    <w:rsid w:val="1D6E27CD"/>
    <w:rsid w:val="1D727268"/>
    <w:rsid w:val="1D747A6E"/>
    <w:rsid w:val="1D767ADA"/>
    <w:rsid w:val="1D7A0D45"/>
    <w:rsid w:val="1D845021"/>
    <w:rsid w:val="1D861B2D"/>
    <w:rsid w:val="1D896FB3"/>
    <w:rsid w:val="1D91741D"/>
    <w:rsid w:val="1D9318C5"/>
    <w:rsid w:val="1D941B55"/>
    <w:rsid w:val="1DAB7998"/>
    <w:rsid w:val="1DB01072"/>
    <w:rsid w:val="1DB2076E"/>
    <w:rsid w:val="1DB43F2E"/>
    <w:rsid w:val="1DBE6DCD"/>
    <w:rsid w:val="1DC2628A"/>
    <w:rsid w:val="1DCF57CE"/>
    <w:rsid w:val="1DCF7FF5"/>
    <w:rsid w:val="1DD11EB5"/>
    <w:rsid w:val="1DD246EC"/>
    <w:rsid w:val="1DD63079"/>
    <w:rsid w:val="1DD859F5"/>
    <w:rsid w:val="1DDA6EEA"/>
    <w:rsid w:val="1DDB37BE"/>
    <w:rsid w:val="1DDD63A7"/>
    <w:rsid w:val="1DE56ABE"/>
    <w:rsid w:val="1DFC4DF9"/>
    <w:rsid w:val="1E0435A0"/>
    <w:rsid w:val="1E110D2A"/>
    <w:rsid w:val="1E1247A2"/>
    <w:rsid w:val="1E155062"/>
    <w:rsid w:val="1E193E9C"/>
    <w:rsid w:val="1E1B38E9"/>
    <w:rsid w:val="1E1B7186"/>
    <w:rsid w:val="1E303EF3"/>
    <w:rsid w:val="1E3065F6"/>
    <w:rsid w:val="1E3303CE"/>
    <w:rsid w:val="1E3F6D05"/>
    <w:rsid w:val="1E494B8A"/>
    <w:rsid w:val="1E4F0222"/>
    <w:rsid w:val="1E5C2AF3"/>
    <w:rsid w:val="1E795C41"/>
    <w:rsid w:val="1E7E640D"/>
    <w:rsid w:val="1E7F3A72"/>
    <w:rsid w:val="1E8064D3"/>
    <w:rsid w:val="1E861E21"/>
    <w:rsid w:val="1EA72270"/>
    <w:rsid w:val="1EBD6E42"/>
    <w:rsid w:val="1EBF2B2C"/>
    <w:rsid w:val="1EC25D1C"/>
    <w:rsid w:val="1EC74AB4"/>
    <w:rsid w:val="1EC87ABC"/>
    <w:rsid w:val="1ED242FC"/>
    <w:rsid w:val="1ED56C03"/>
    <w:rsid w:val="1EDA0174"/>
    <w:rsid w:val="1EDA3DBE"/>
    <w:rsid w:val="1EDB3888"/>
    <w:rsid w:val="1EE05F54"/>
    <w:rsid w:val="1EE332A7"/>
    <w:rsid w:val="1EF579A0"/>
    <w:rsid w:val="1F05532C"/>
    <w:rsid w:val="1F095121"/>
    <w:rsid w:val="1F0C3604"/>
    <w:rsid w:val="1F0D0383"/>
    <w:rsid w:val="1F0F4C7A"/>
    <w:rsid w:val="1F1527EE"/>
    <w:rsid w:val="1F20034A"/>
    <w:rsid w:val="1F251ABC"/>
    <w:rsid w:val="1F290391"/>
    <w:rsid w:val="1F2A2D10"/>
    <w:rsid w:val="1F304386"/>
    <w:rsid w:val="1F370102"/>
    <w:rsid w:val="1F3F0073"/>
    <w:rsid w:val="1F43546C"/>
    <w:rsid w:val="1F48506F"/>
    <w:rsid w:val="1F4B10C3"/>
    <w:rsid w:val="1F5C7F87"/>
    <w:rsid w:val="1F6C1D79"/>
    <w:rsid w:val="1F792E9A"/>
    <w:rsid w:val="1F7B67F6"/>
    <w:rsid w:val="1F7C518B"/>
    <w:rsid w:val="1F881F59"/>
    <w:rsid w:val="1F8941F6"/>
    <w:rsid w:val="1F971B7F"/>
    <w:rsid w:val="1F977565"/>
    <w:rsid w:val="1F9B644E"/>
    <w:rsid w:val="1FA22246"/>
    <w:rsid w:val="1FA429B4"/>
    <w:rsid w:val="1FAC06FF"/>
    <w:rsid w:val="1FB34801"/>
    <w:rsid w:val="1FB75185"/>
    <w:rsid w:val="1FB9068D"/>
    <w:rsid w:val="1FB97163"/>
    <w:rsid w:val="1FBD0EE6"/>
    <w:rsid w:val="1FC10346"/>
    <w:rsid w:val="1FC16504"/>
    <w:rsid w:val="1FDB745E"/>
    <w:rsid w:val="1FDD028C"/>
    <w:rsid w:val="1FE218C2"/>
    <w:rsid w:val="1FF955B0"/>
    <w:rsid w:val="1FFA3EAB"/>
    <w:rsid w:val="1FFB3FF4"/>
    <w:rsid w:val="1FFC1294"/>
    <w:rsid w:val="1FFC4541"/>
    <w:rsid w:val="200B6448"/>
    <w:rsid w:val="20176E76"/>
    <w:rsid w:val="201C2D60"/>
    <w:rsid w:val="20270162"/>
    <w:rsid w:val="203F0CD6"/>
    <w:rsid w:val="20421E9D"/>
    <w:rsid w:val="204439A4"/>
    <w:rsid w:val="20655E4F"/>
    <w:rsid w:val="20721F6B"/>
    <w:rsid w:val="207308C3"/>
    <w:rsid w:val="207411D3"/>
    <w:rsid w:val="20743131"/>
    <w:rsid w:val="207536DF"/>
    <w:rsid w:val="20783BF9"/>
    <w:rsid w:val="20786435"/>
    <w:rsid w:val="20802CF5"/>
    <w:rsid w:val="20811113"/>
    <w:rsid w:val="20874766"/>
    <w:rsid w:val="2088281D"/>
    <w:rsid w:val="2088475A"/>
    <w:rsid w:val="20917F9C"/>
    <w:rsid w:val="2094661E"/>
    <w:rsid w:val="20951ED4"/>
    <w:rsid w:val="20962536"/>
    <w:rsid w:val="20AF5726"/>
    <w:rsid w:val="20AF5A47"/>
    <w:rsid w:val="20B50E80"/>
    <w:rsid w:val="20B71F63"/>
    <w:rsid w:val="20B7483F"/>
    <w:rsid w:val="20BD02A3"/>
    <w:rsid w:val="20BE1841"/>
    <w:rsid w:val="20D078F3"/>
    <w:rsid w:val="20D200AD"/>
    <w:rsid w:val="20D95B71"/>
    <w:rsid w:val="20DA60A5"/>
    <w:rsid w:val="20DB223A"/>
    <w:rsid w:val="20E51C80"/>
    <w:rsid w:val="20E61367"/>
    <w:rsid w:val="20EC58CB"/>
    <w:rsid w:val="20F17304"/>
    <w:rsid w:val="21007C49"/>
    <w:rsid w:val="21014223"/>
    <w:rsid w:val="21200021"/>
    <w:rsid w:val="21257F04"/>
    <w:rsid w:val="21291A31"/>
    <w:rsid w:val="213445FE"/>
    <w:rsid w:val="21353F50"/>
    <w:rsid w:val="2138052E"/>
    <w:rsid w:val="213C3CC5"/>
    <w:rsid w:val="21404767"/>
    <w:rsid w:val="214776EA"/>
    <w:rsid w:val="21522E38"/>
    <w:rsid w:val="2159046C"/>
    <w:rsid w:val="21592762"/>
    <w:rsid w:val="215E62F3"/>
    <w:rsid w:val="215F3A68"/>
    <w:rsid w:val="21611A31"/>
    <w:rsid w:val="21635586"/>
    <w:rsid w:val="21760888"/>
    <w:rsid w:val="217B17E2"/>
    <w:rsid w:val="218810BD"/>
    <w:rsid w:val="218D61A9"/>
    <w:rsid w:val="218F7263"/>
    <w:rsid w:val="2190117D"/>
    <w:rsid w:val="219015DB"/>
    <w:rsid w:val="219140F2"/>
    <w:rsid w:val="21994057"/>
    <w:rsid w:val="219A79A2"/>
    <w:rsid w:val="219F1479"/>
    <w:rsid w:val="21A34664"/>
    <w:rsid w:val="21B80E8C"/>
    <w:rsid w:val="21B91F5E"/>
    <w:rsid w:val="21C24072"/>
    <w:rsid w:val="21C73828"/>
    <w:rsid w:val="21D55950"/>
    <w:rsid w:val="21D965A1"/>
    <w:rsid w:val="21E11782"/>
    <w:rsid w:val="21E14B35"/>
    <w:rsid w:val="21E617C0"/>
    <w:rsid w:val="21EC3E44"/>
    <w:rsid w:val="21F002DA"/>
    <w:rsid w:val="21F2539C"/>
    <w:rsid w:val="21F533B9"/>
    <w:rsid w:val="21F65A58"/>
    <w:rsid w:val="21FB61D0"/>
    <w:rsid w:val="220B3AD6"/>
    <w:rsid w:val="22191ECB"/>
    <w:rsid w:val="221E272E"/>
    <w:rsid w:val="2221560D"/>
    <w:rsid w:val="222A1FFE"/>
    <w:rsid w:val="222B075F"/>
    <w:rsid w:val="22367DC0"/>
    <w:rsid w:val="223C2D91"/>
    <w:rsid w:val="22426753"/>
    <w:rsid w:val="224D7BB0"/>
    <w:rsid w:val="22541D32"/>
    <w:rsid w:val="225474CD"/>
    <w:rsid w:val="225E1754"/>
    <w:rsid w:val="225F0409"/>
    <w:rsid w:val="225F51CF"/>
    <w:rsid w:val="226A54A8"/>
    <w:rsid w:val="226D42BA"/>
    <w:rsid w:val="226D7A71"/>
    <w:rsid w:val="227078B0"/>
    <w:rsid w:val="2271187B"/>
    <w:rsid w:val="22833161"/>
    <w:rsid w:val="228338C8"/>
    <w:rsid w:val="22840DDA"/>
    <w:rsid w:val="22876A0D"/>
    <w:rsid w:val="229C7857"/>
    <w:rsid w:val="22A11695"/>
    <w:rsid w:val="22A63B38"/>
    <w:rsid w:val="22A73490"/>
    <w:rsid w:val="22A8489A"/>
    <w:rsid w:val="22AA7376"/>
    <w:rsid w:val="22AB3B60"/>
    <w:rsid w:val="22AF11A1"/>
    <w:rsid w:val="22B2134F"/>
    <w:rsid w:val="22B22D1F"/>
    <w:rsid w:val="22B33D99"/>
    <w:rsid w:val="22B83EF7"/>
    <w:rsid w:val="22BB4A47"/>
    <w:rsid w:val="22BC2773"/>
    <w:rsid w:val="22BE29D6"/>
    <w:rsid w:val="22C27BE8"/>
    <w:rsid w:val="22C4003E"/>
    <w:rsid w:val="22CB2F4B"/>
    <w:rsid w:val="22D02654"/>
    <w:rsid w:val="22D10E4B"/>
    <w:rsid w:val="22D7363B"/>
    <w:rsid w:val="22D90210"/>
    <w:rsid w:val="22D912F9"/>
    <w:rsid w:val="22E1284D"/>
    <w:rsid w:val="22E73006"/>
    <w:rsid w:val="22EB3773"/>
    <w:rsid w:val="22EE13BE"/>
    <w:rsid w:val="22F31E85"/>
    <w:rsid w:val="22F71A54"/>
    <w:rsid w:val="22F74CC6"/>
    <w:rsid w:val="22FB2321"/>
    <w:rsid w:val="22FF6AA7"/>
    <w:rsid w:val="2306325F"/>
    <w:rsid w:val="230749DA"/>
    <w:rsid w:val="230753E2"/>
    <w:rsid w:val="230E2CD5"/>
    <w:rsid w:val="230F5270"/>
    <w:rsid w:val="2311101C"/>
    <w:rsid w:val="231869B1"/>
    <w:rsid w:val="2319089C"/>
    <w:rsid w:val="231B2491"/>
    <w:rsid w:val="232515D0"/>
    <w:rsid w:val="232F45E5"/>
    <w:rsid w:val="23382F5D"/>
    <w:rsid w:val="233857DC"/>
    <w:rsid w:val="233E2231"/>
    <w:rsid w:val="23443C8F"/>
    <w:rsid w:val="23561548"/>
    <w:rsid w:val="23561CD1"/>
    <w:rsid w:val="235E47B6"/>
    <w:rsid w:val="23644FB5"/>
    <w:rsid w:val="23646298"/>
    <w:rsid w:val="236B32CC"/>
    <w:rsid w:val="2372506B"/>
    <w:rsid w:val="2376691B"/>
    <w:rsid w:val="2378146C"/>
    <w:rsid w:val="238D2D50"/>
    <w:rsid w:val="238D66BE"/>
    <w:rsid w:val="2390261F"/>
    <w:rsid w:val="23950A55"/>
    <w:rsid w:val="239540DC"/>
    <w:rsid w:val="23965F67"/>
    <w:rsid w:val="23A00272"/>
    <w:rsid w:val="23A02531"/>
    <w:rsid w:val="23A11F4F"/>
    <w:rsid w:val="23B41225"/>
    <w:rsid w:val="23BA6237"/>
    <w:rsid w:val="23BC048E"/>
    <w:rsid w:val="23C9616F"/>
    <w:rsid w:val="23CC0919"/>
    <w:rsid w:val="23CE659F"/>
    <w:rsid w:val="23CF7FD3"/>
    <w:rsid w:val="23D4199E"/>
    <w:rsid w:val="23DC01C4"/>
    <w:rsid w:val="23DC60E2"/>
    <w:rsid w:val="23E17EC8"/>
    <w:rsid w:val="23E47406"/>
    <w:rsid w:val="23E91B93"/>
    <w:rsid w:val="23F6160A"/>
    <w:rsid w:val="23FA4415"/>
    <w:rsid w:val="23FB72B1"/>
    <w:rsid w:val="24026C92"/>
    <w:rsid w:val="24027DBA"/>
    <w:rsid w:val="240657B6"/>
    <w:rsid w:val="240B36D8"/>
    <w:rsid w:val="240C2CCA"/>
    <w:rsid w:val="240C553C"/>
    <w:rsid w:val="241722EB"/>
    <w:rsid w:val="24193E65"/>
    <w:rsid w:val="242B021E"/>
    <w:rsid w:val="24323334"/>
    <w:rsid w:val="243336DA"/>
    <w:rsid w:val="24373DE9"/>
    <w:rsid w:val="243D6215"/>
    <w:rsid w:val="244F01D0"/>
    <w:rsid w:val="245226BE"/>
    <w:rsid w:val="245550BB"/>
    <w:rsid w:val="245A0102"/>
    <w:rsid w:val="2461318F"/>
    <w:rsid w:val="24662623"/>
    <w:rsid w:val="24673502"/>
    <w:rsid w:val="24676BCD"/>
    <w:rsid w:val="24676F22"/>
    <w:rsid w:val="2468531E"/>
    <w:rsid w:val="246D7EC6"/>
    <w:rsid w:val="24741D21"/>
    <w:rsid w:val="24750E49"/>
    <w:rsid w:val="2479502B"/>
    <w:rsid w:val="2479597F"/>
    <w:rsid w:val="247D3C6E"/>
    <w:rsid w:val="24860612"/>
    <w:rsid w:val="24872D53"/>
    <w:rsid w:val="248E7D90"/>
    <w:rsid w:val="249321BF"/>
    <w:rsid w:val="249C0D83"/>
    <w:rsid w:val="24A033EE"/>
    <w:rsid w:val="24B51B12"/>
    <w:rsid w:val="24C434A5"/>
    <w:rsid w:val="24CA496C"/>
    <w:rsid w:val="24CB78C2"/>
    <w:rsid w:val="24CC60AA"/>
    <w:rsid w:val="24D35568"/>
    <w:rsid w:val="24D72C44"/>
    <w:rsid w:val="24DB51FA"/>
    <w:rsid w:val="24E954E0"/>
    <w:rsid w:val="24F37FEF"/>
    <w:rsid w:val="24F82FB3"/>
    <w:rsid w:val="2504405A"/>
    <w:rsid w:val="251809ED"/>
    <w:rsid w:val="25241C4A"/>
    <w:rsid w:val="25265A8E"/>
    <w:rsid w:val="252A5159"/>
    <w:rsid w:val="25364407"/>
    <w:rsid w:val="25380B4A"/>
    <w:rsid w:val="253C2F3D"/>
    <w:rsid w:val="253C65AF"/>
    <w:rsid w:val="25410D56"/>
    <w:rsid w:val="254D55BA"/>
    <w:rsid w:val="254F6D5C"/>
    <w:rsid w:val="25644E19"/>
    <w:rsid w:val="256F1EB3"/>
    <w:rsid w:val="25720D21"/>
    <w:rsid w:val="257B7A7B"/>
    <w:rsid w:val="257C63F7"/>
    <w:rsid w:val="257E458B"/>
    <w:rsid w:val="258426BC"/>
    <w:rsid w:val="25867F54"/>
    <w:rsid w:val="258B4AE4"/>
    <w:rsid w:val="258C3B89"/>
    <w:rsid w:val="258C6B00"/>
    <w:rsid w:val="258F1E2E"/>
    <w:rsid w:val="259114ED"/>
    <w:rsid w:val="2593720A"/>
    <w:rsid w:val="25996F48"/>
    <w:rsid w:val="259A3CB2"/>
    <w:rsid w:val="259E4C39"/>
    <w:rsid w:val="259E5828"/>
    <w:rsid w:val="25A45B04"/>
    <w:rsid w:val="25A92B92"/>
    <w:rsid w:val="25AB0A3D"/>
    <w:rsid w:val="25AC370D"/>
    <w:rsid w:val="25B22B68"/>
    <w:rsid w:val="25B5218E"/>
    <w:rsid w:val="25C15D16"/>
    <w:rsid w:val="25C55B83"/>
    <w:rsid w:val="25CD5BF1"/>
    <w:rsid w:val="25CD62C3"/>
    <w:rsid w:val="25D31208"/>
    <w:rsid w:val="25DA65CA"/>
    <w:rsid w:val="25DB6649"/>
    <w:rsid w:val="25DC1D12"/>
    <w:rsid w:val="25DD0809"/>
    <w:rsid w:val="25E27416"/>
    <w:rsid w:val="25E46656"/>
    <w:rsid w:val="25E47484"/>
    <w:rsid w:val="25E92FBE"/>
    <w:rsid w:val="25F17275"/>
    <w:rsid w:val="25F31E31"/>
    <w:rsid w:val="25F70EE4"/>
    <w:rsid w:val="25F83FB0"/>
    <w:rsid w:val="25FC0B75"/>
    <w:rsid w:val="26006C23"/>
    <w:rsid w:val="260139F3"/>
    <w:rsid w:val="260556D5"/>
    <w:rsid w:val="26080DD9"/>
    <w:rsid w:val="26082798"/>
    <w:rsid w:val="26095114"/>
    <w:rsid w:val="260E454E"/>
    <w:rsid w:val="261464EE"/>
    <w:rsid w:val="26280E6C"/>
    <w:rsid w:val="262E05B0"/>
    <w:rsid w:val="26327A25"/>
    <w:rsid w:val="26331CBB"/>
    <w:rsid w:val="26372014"/>
    <w:rsid w:val="263E0859"/>
    <w:rsid w:val="263E1A96"/>
    <w:rsid w:val="26405937"/>
    <w:rsid w:val="26433FB7"/>
    <w:rsid w:val="26452DA3"/>
    <w:rsid w:val="26474B98"/>
    <w:rsid w:val="264D3294"/>
    <w:rsid w:val="266A2AD6"/>
    <w:rsid w:val="266C2FED"/>
    <w:rsid w:val="26783498"/>
    <w:rsid w:val="267A33D1"/>
    <w:rsid w:val="268246BC"/>
    <w:rsid w:val="268B7473"/>
    <w:rsid w:val="26952295"/>
    <w:rsid w:val="269626DF"/>
    <w:rsid w:val="269B7137"/>
    <w:rsid w:val="26A265DC"/>
    <w:rsid w:val="26AE5F52"/>
    <w:rsid w:val="26AE6F7F"/>
    <w:rsid w:val="26B32654"/>
    <w:rsid w:val="26B40C48"/>
    <w:rsid w:val="26B8056C"/>
    <w:rsid w:val="26C87742"/>
    <w:rsid w:val="26E272BC"/>
    <w:rsid w:val="26E33E5B"/>
    <w:rsid w:val="26E70CA8"/>
    <w:rsid w:val="26EA7605"/>
    <w:rsid w:val="26EB47D6"/>
    <w:rsid w:val="26F17CAD"/>
    <w:rsid w:val="26F51567"/>
    <w:rsid w:val="26F54808"/>
    <w:rsid w:val="26F81366"/>
    <w:rsid w:val="26FB5D95"/>
    <w:rsid w:val="26FC2F8C"/>
    <w:rsid w:val="27094F93"/>
    <w:rsid w:val="270E05C8"/>
    <w:rsid w:val="27101BFD"/>
    <w:rsid w:val="27172021"/>
    <w:rsid w:val="27190D99"/>
    <w:rsid w:val="271927EF"/>
    <w:rsid w:val="271A253D"/>
    <w:rsid w:val="271A4B23"/>
    <w:rsid w:val="271C2CE9"/>
    <w:rsid w:val="27235746"/>
    <w:rsid w:val="273E49F4"/>
    <w:rsid w:val="274321B1"/>
    <w:rsid w:val="27450C2D"/>
    <w:rsid w:val="274525DC"/>
    <w:rsid w:val="274652E6"/>
    <w:rsid w:val="27470851"/>
    <w:rsid w:val="27480748"/>
    <w:rsid w:val="274E0335"/>
    <w:rsid w:val="275D1356"/>
    <w:rsid w:val="275D4A89"/>
    <w:rsid w:val="27625310"/>
    <w:rsid w:val="27641213"/>
    <w:rsid w:val="277A2EC6"/>
    <w:rsid w:val="277E3D2C"/>
    <w:rsid w:val="27841ADD"/>
    <w:rsid w:val="278B7262"/>
    <w:rsid w:val="278E7D5F"/>
    <w:rsid w:val="279429E3"/>
    <w:rsid w:val="27966F4A"/>
    <w:rsid w:val="27A74D7A"/>
    <w:rsid w:val="27A75735"/>
    <w:rsid w:val="27A91AD2"/>
    <w:rsid w:val="27AE6E2D"/>
    <w:rsid w:val="27AF57B8"/>
    <w:rsid w:val="27B24596"/>
    <w:rsid w:val="27B25FFF"/>
    <w:rsid w:val="27BA12A7"/>
    <w:rsid w:val="27BA6BC4"/>
    <w:rsid w:val="27BC2EEA"/>
    <w:rsid w:val="27C93064"/>
    <w:rsid w:val="27C96B67"/>
    <w:rsid w:val="27CB38EC"/>
    <w:rsid w:val="27CB5FF9"/>
    <w:rsid w:val="27CC0A3D"/>
    <w:rsid w:val="27D34267"/>
    <w:rsid w:val="27D62E6F"/>
    <w:rsid w:val="27D745E8"/>
    <w:rsid w:val="27E4169F"/>
    <w:rsid w:val="27E476BC"/>
    <w:rsid w:val="27E7338B"/>
    <w:rsid w:val="27EA3B97"/>
    <w:rsid w:val="27EF0430"/>
    <w:rsid w:val="27F32107"/>
    <w:rsid w:val="27FA5F82"/>
    <w:rsid w:val="28014303"/>
    <w:rsid w:val="280410A7"/>
    <w:rsid w:val="2809034F"/>
    <w:rsid w:val="28152D65"/>
    <w:rsid w:val="281713C1"/>
    <w:rsid w:val="28201807"/>
    <w:rsid w:val="28202089"/>
    <w:rsid w:val="28210C3B"/>
    <w:rsid w:val="2833186C"/>
    <w:rsid w:val="283E3927"/>
    <w:rsid w:val="28432F7C"/>
    <w:rsid w:val="285065F4"/>
    <w:rsid w:val="28557C44"/>
    <w:rsid w:val="28564AD0"/>
    <w:rsid w:val="285E1540"/>
    <w:rsid w:val="28634EA7"/>
    <w:rsid w:val="2868554F"/>
    <w:rsid w:val="286A70A6"/>
    <w:rsid w:val="286D715D"/>
    <w:rsid w:val="28707EB9"/>
    <w:rsid w:val="28710251"/>
    <w:rsid w:val="287270BD"/>
    <w:rsid w:val="287508F6"/>
    <w:rsid w:val="288C7056"/>
    <w:rsid w:val="288F598A"/>
    <w:rsid w:val="289910F7"/>
    <w:rsid w:val="28A14F66"/>
    <w:rsid w:val="28A4234C"/>
    <w:rsid w:val="28A63531"/>
    <w:rsid w:val="28A773FC"/>
    <w:rsid w:val="28CA5B35"/>
    <w:rsid w:val="28D02425"/>
    <w:rsid w:val="28D36FD2"/>
    <w:rsid w:val="28D527CA"/>
    <w:rsid w:val="28DB1A3D"/>
    <w:rsid w:val="28F133CC"/>
    <w:rsid w:val="28F729CE"/>
    <w:rsid w:val="28F934CA"/>
    <w:rsid w:val="28FA5F7F"/>
    <w:rsid w:val="29056F59"/>
    <w:rsid w:val="2907017C"/>
    <w:rsid w:val="29094B16"/>
    <w:rsid w:val="291218C3"/>
    <w:rsid w:val="2912731C"/>
    <w:rsid w:val="29150A19"/>
    <w:rsid w:val="29157321"/>
    <w:rsid w:val="291F35AA"/>
    <w:rsid w:val="2925391D"/>
    <w:rsid w:val="292B0670"/>
    <w:rsid w:val="292E0A29"/>
    <w:rsid w:val="29325A72"/>
    <w:rsid w:val="2938341E"/>
    <w:rsid w:val="293A6E92"/>
    <w:rsid w:val="29566904"/>
    <w:rsid w:val="29582224"/>
    <w:rsid w:val="29585835"/>
    <w:rsid w:val="296074D7"/>
    <w:rsid w:val="29692EBD"/>
    <w:rsid w:val="29712D8F"/>
    <w:rsid w:val="29736267"/>
    <w:rsid w:val="297B31D3"/>
    <w:rsid w:val="298103BD"/>
    <w:rsid w:val="298D4850"/>
    <w:rsid w:val="29966295"/>
    <w:rsid w:val="29971F57"/>
    <w:rsid w:val="299C7DCA"/>
    <w:rsid w:val="29A021A8"/>
    <w:rsid w:val="29A942FB"/>
    <w:rsid w:val="29A94F7F"/>
    <w:rsid w:val="29B344DC"/>
    <w:rsid w:val="29B539E6"/>
    <w:rsid w:val="29BA1399"/>
    <w:rsid w:val="29BC2699"/>
    <w:rsid w:val="29C8428C"/>
    <w:rsid w:val="29D4298C"/>
    <w:rsid w:val="29DD7E33"/>
    <w:rsid w:val="29E31C9C"/>
    <w:rsid w:val="29E55C12"/>
    <w:rsid w:val="29E81D60"/>
    <w:rsid w:val="29F035C0"/>
    <w:rsid w:val="29F05E16"/>
    <w:rsid w:val="29F54832"/>
    <w:rsid w:val="2A111075"/>
    <w:rsid w:val="2A160D87"/>
    <w:rsid w:val="2A22248B"/>
    <w:rsid w:val="2A2351F4"/>
    <w:rsid w:val="2A307EBE"/>
    <w:rsid w:val="2A3E413F"/>
    <w:rsid w:val="2A430F4D"/>
    <w:rsid w:val="2A5303B9"/>
    <w:rsid w:val="2A534A67"/>
    <w:rsid w:val="2A5F67A3"/>
    <w:rsid w:val="2A6151C4"/>
    <w:rsid w:val="2A664C59"/>
    <w:rsid w:val="2A6B464E"/>
    <w:rsid w:val="2A944B48"/>
    <w:rsid w:val="2A9A0F2B"/>
    <w:rsid w:val="2AA07917"/>
    <w:rsid w:val="2AA1140C"/>
    <w:rsid w:val="2AA67F8B"/>
    <w:rsid w:val="2AAA31D9"/>
    <w:rsid w:val="2AAC289A"/>
    <w:rsid w:val="2AB138BA"/>
    <w:rsid w:val="2AC51079"/>
    <w:rsid w:val="2ACA0984"/>
    <w:rsid w:val="2AD05182"/>
    <w:rsid w:val="2AE47A17"/>
    <w:rsid w:val="2AEB2740"/>
    <w:rsid w:val="2AF44191"/>
    <w:rsid w:val="2AF74347"/>
    <w:rsid w:val="2B0A4D59"/>
    <w:rsid w:val="2B1A32A0"/>
    <w:rsid w:val="2B26693B"/>
    <w:rsid w:val="2B2F1FC7"/>
    <w:rsid w:val="2B2F2F22"/>
    <w:rsid w:val="2B37764D"/>
    <w:rsid w:val="2B3F6547"/>
    <w:rsid w:val="2B430D5F"/>
    <w:rsid w:val="2B4F2967"/>
    <w:rsid w:val="2B5C1A7C"/>
    <w:rsid w:val="2B5C469F"/>
    <w:rsid w:val="2B6525E9"/>
    <w:rsid w:val="2B6E19DB"/>
    <w:rsid w:val="2B756050"/>
    <w:rsid w:val="2B7C5660"/>
    <w:rsid w:val="2B8944AA"/>
    <w:rsid w:val="2B92679C"/>
    <w:rsid w:val="2B96506D"/>
    <w:rsid w:val="2B986BC6"/>
    <w:rsid w:val="2B9C0A86"/>
    <w:rsid w:val="2BA16669"/>
    <w:rsid w:val="2BAE20A5"/>
    <w:rsid w:val="2BAF2381"/>
    <w:rsid w:val="2BB1376A"/>
    <w:rsid w:val="2BBA7E05"/>
    <w:rsid w:val="2BBB17D5"/>
    <w:rsid w:val="2BC3413A"/>
    <w:rsid w:val="2BC45396"/>
    <w:rsid w:val="2BD540AD"/>
    <w:rsid w:val="2BDA10DE"/>
    <w:rsid w:val="2BDA2AEC"/>
    <w:rsid w:val="2BF336C9"/>
    <w:rsid w:val="2BF33ED5"/>
    <w:rsid w:val="2BFB7405"/>
    <w:rsid w:val="2C006833"/>
    <w:rsid w:val="2C034F7B"/>
    <w:rsid w:val="2C040D89"/>
    <w:rsid w:val="2C0509D9"/>
    <w:rsid w:val="2C05481D"/>
    <w:rsid w:val="2C056AF9"/>
    <w:rsid w:val="2C220DB4"/>
    <w:rsid w:val="2C247FF1"/>
    <w:rsid w:val="2C3C0030"/>
    <w:rsid w:val="2C3F3887"/>
    <w:rsid w:val="2C45016F"/>
    <w:rsid w:val="2C516E38"/>
    <w:rsid w:val="2C533A6A"/>
    <w:rsid w:val="2C560EA3"/>
    <w:rsid w:val="2C617496"/>
    <w:rsid w:val="2C62156F"/>
    <w:rsid w:val="2C6F41F6"/>
    <w:rsid w:val="2C730778"/>
    <w:rsid w:val="2C7E030A"/>
    <w:rsid w:val="2C833FFB"/>
    <w:rsid w:val="2C8F430E"/>
    <w:rsid w:val="2C970335"/>
    <w:rsid w:val="2CA21894"/>
    <w:rsid w:val="2CA4476E"/>
    <w:rsid w:val="2CAD4F6B"/>
    <w:rsid w:val="2CB17FD2"/>
    <w:rsid w:val="2CC16AFA"/>
    <w:rsid w:val="2CC95D10"/>
    <w:rsid w:val="2CCA43FF"/>
    <w:rsid w:val="2CCB5A72"/>
    <w:rsid w:val="2CD57684"/>
    <w:rsid w:val="2CD67A0B"/>
    <w:rsid w:val="2CD75666"/>
    <w:rsid w:val="2CD83FF1"/>
    <w:rsid w:val="2CDC6591"/>
    <w:rsid w:val="2CDE08F2"/>
    <w:rsid w:val="2CE03AB0"/>
    <w:rsid w:val="2CEB494F"/>
    <w:rsid w:val="2CEF53E3"/>
    <w:rsid w:val="2CF53A56"/>
    <w:rsid w:val="2CF649A9"/>
    <w:rsid w:val="2CFC27E4"/>
    <w:rsid w:val="2D0766E4"/>
    <w:rsid w:val="2D0B702A"/>
    <w:rsid w:val="2D107EBA"/>
    <w:rsid w:val="2D1B67A1"/>
    <w:rsid w:val="2D1F4BCA"/>
    <w:rsid w:val="2D221AAA"/>
    <w:rsid w:val="2D254ED3"/>
    <w:rsid w:val="2D2651C9"/>
    <w:rsid w:val="2D397977"/>
    <w:rsid w:val="2D3D74EA"/>
    <w:rsid w:val="2D476C62"/>
    <w:rsid w:val="2D504333"/>
    <w:rsid w:val="2D521264"/>
    <w:rsid w:val="2D567058"/>
    <w:rsid w:val="2D57290A"/>
    <w:rsid w:val="2D5D7FE8"/>
    <w:rsid w:val="2D5E7E01"/>
    <w:rsid w:val="2D6030A2"/>
    <w:rsid w:val="2D660EF9"/>
    <w:rsid w:val="2D6C2B47"/>
    <w:rsid w:val="2D763F45"/>
    <w:rsid w:val="2D820204"/>
    <w:rsid w:val="2D8402FC"/>
    <w:rsid w:val="2D88024C"/>
    <w:rsid w:val="2D935488"/>
    <w:rsid w:val="2D960FB5"/>
    <w:rsid w:val="2D9B4423"/>
    <w:rsid w:val="2DAC2EF4"/>
    <w:rsid w:val="2DAD4BCD"/>
    <w:rsid w:val="2DB453FF"/>
    <w:rsid w:val="2DBE4237"/>
    <w:rsid w:val="2DBF1693"/>
    <w:rsid w:val="2DCB10F0"/>
    <w:rsid w:val="2DCB38A1"/>
    <w:rsid w:val="2DD066E9"/>
    <w:rsid w:val="2DDC0ED4"/>
    <w:rsid w:val="2DE3054F"/>
    <w:rsid w:val="2DE7186E"/>
    <w:rsid w:val="2DF036FB"/>
    <w:rsid w:val="2DF21CB3"/>
    <w:rsid w:val="2DFD78B4"/>
    <w:rsid w:val="2DFE083B"/>
    <w:rsid w:val="2E0708FF"/>
    <w:rsid w:val="2E11457C"/>
    <w:rsid w:val="2E1643B9"/>
    <w:rsid w:val="2E184C0F"/>
    <w:rsid w:val="2E187142"/>
    <w:rsid w:val="2E1F18AD"/>
    <w:rsid w:val="2E285E19"/>
    <w:rsid w:val="2E28757C"/>
    <w:rsid w:val="2E2C723F"/>
    <w:rsid w:val="2E332EEF"/>
    <w:rsid w:val="2E3D0855"/>
    <w:rsid w:val="2E3F6B8A"/>
    <w:rsid w:val="2E406C31"/>
    <w:rsid w:val="2E467FE7"/>
    <w:rsid w:val="2E527715"/>
    <w:rsid w:val="2E530660"/>
    <w:rsid w:val="2E531152"/>
    <w:rsid w:val="2E5448E2"/>
    <w:rsid w:val="2E565287"/>
    <w:rsid w:val="2E5F1E47"/>
    <w:rsid w:val="2E682652"/>
    <w:rsid w:val="2E6B6D27"/>
    <w:rsid w:val="2E7A506F"/>
    <w:rsid w:val="2E7B0600"/>
    <w:rsid w:val="2E7B273D"/>
    <w:rsid w:val="2E7D30EA"/>
    <w:rsid w:val="2E8028E0"/>
    <w:rsid w:val="2E88139A"/>
    <w:rsid w:val="2E8B051E"/>
    <w:rsid w:val="2E8F062E"/>
    <w:rsid w:val="2E905D65"/>
    <w:rsid w:val="2E9D560F"/>
    <w:rsid w:val="2E9F7EC1"/>
    <w:rsid w:val="2EA234E1"/>
    <w:rsid w:val="2EB17C70"/>
    <w:rsid w:val="2EB411B5"/>
    <w:rsid w:val="2EBD49E1"/>
    <w:rsid w:val="2EBF0ED1"/>
    <w:rsid w:val="2EC42186"/>
    <w:rsid w:val="2EC7495E"/>
    <w:rsid w:val="2EC776BB"/>
    <w:rsid w:val="2ECA39AD"/>
    <w:rsid w:val="2ECC0C07"/>
    <w:rsid w:val="2ED03009"/>
    <w:rsid w:val="2EED4C9D"/>
    <w:rsid w:val="2EF01DA9"/>
    <w:rsid w:val="2EF224CD"/>
    <w:rsid w:val="2EF67D61"/>
    <w:rsid w:val="2EFA2F2B"/>
    <w:rsid w:val="2F010C22"/>
    <w:rsid w:val="2F195BDC"/>
    <w:rsid w:val="2F2E23A6"/>
    <w:rsid w:val="2F2E289C"/>
    <w:rsid w:val="2F350F19"/>
    <w:rsid w:val="2F383567"/>
    <w:rsid w:val="2F3B1918"/>
    <w:rsid w:val="2F415DC8"/>
    <w:rsid w:val="2F514AAE"/>
    <w:rsid w:val="2F531FEB"/>
    <w:rsid w:val="2F5B5B3B"/>
    <w:rsid w:val="2F615468"/>
    <w:rsid w:val="2F655F0E"/>
    <w:rsid w:val="2F6B73F9"/>
    <w:rsid w:val="2F6D4FA6"/>
    <w:rsid w:val="2F743486"/>
    <w:rsid w:val="2F756E65"/>
    <w:rsid w:val="2F77354F"/>
    <w:rsid w:val="2F7A7069"/>
    <w:rsid w:val="2F7B2789"/>
    <w:rsid w:val="2F8001B6"/>
    <w:rsid w:val="2F897AA1"/>
    <w:rsid w:val="2F8D4D67"/>
    <w:rsid w:val="2F8E2F8D"/>
    <w:rsid w:val="2F9051B8"/>
    <w:rsid w:val="2F910893"/>
    <w:rsid w:val="2F9A69D2"/>
    <w:rsid w:val="2F9C6646"/>
    <w:rsid w:val="2F9D4AA3"/>
    <w:rsid w:val="2F9F094E"/>
    <w:rsid w:val="2FA5152D"/>
    <w:rsid w:val="2FA96250"/>
    <w:rsid w:val="2FAA31BA"/>
    <w:rsid w:val="2FB11323"/>
    <w:rsid w:val="2FBB6A2A"/>
    <w:rsid w:val="2FC2166F"/>
    <w:rsid w:val="2FCB0952"/>
    <w:rsid w:val="2FD53529"/>
    <w:rsid w:val="2FD80709"/>
    <w:rsid w:val="2FDF2368"/>
    <w:rsid w:val="2FDF7CD4"/>
    <w:rsid w:val="2FEC08C6"/>
    <w:rsid w:val="2FF532B7"/>
    <w:rsid w:val="2FF674CB"/>
    <w:rsid w:val="2FF7251F"/>
    <w:rsid w:val="30007788"/>
    <w:rsid w:val="30093592"/>
    <w:rsid w:val="301977C7"/>
    <w:rsid w:val="301E3E25"/>
    <w:rsid w:val="30205153"/>
    <w:rsid w:val="30253FAB"/>
    <w:rsid w:val="30270D6F"/>
    <w:rsid w:val="303B3B59"/>
    <w:rsid w:val="303C0C41"/>
    <w:rsid w:val="303D6437"/>
    <w:rsid w:val="30443F81"/>
    <w:rsid w:val="305831D6"/>
    <w:rsid w:val="305A4537"/>
    <w:rsid w:val="30632880"/>
    <w:rsid w:val="3070014A"/>
    <w:rsid w:val="307B4FFA"/>
    <w:rsid w:val="308136E0"/>
    <w:rsid w:val="308719BC"/>
    <w:rsid w:val="3095375A"/>
    <w:rsid w:val="30977E19"/>
    <w:rsid w:val="309B2688"/>
    <w:rsid w:val="30A90B96"/>
    <w:rsid w:val="30A91070"/>
    <w:rsid w:val="30B26464"/>
    <w:rsid w:val="30B420CD"/>
    <w:rsid w:val="30B86332"/>
    <w:rsid w:val="30C91D87"/>
    <w:rsid w:val="30D10B78"/>
    <w:rsid w:val="30D251E3"/>
    <w:rsid w:val="30D36EB7"/>
    <w:rsid w:val="30D45137"/>
    <w:rsid w:val="30D51A41"/>
    <w:rsid w:val="30E7233C"/>
    <w:rsid w:val="30F3215C"/>
    <w:rsid w:val="30FB3BF4"/>
    <w:rsid w:val="31076B28"/>
    <w:rsid w:val="31076EFA"/>
    <w:rsid w:val="310866BC"/>
    <w:rsid w:val="31154DED"/>
    <w:rsid w:val="31215B33"/>
    <w:rsid w:val="312A36B1"/>
    <w:rsid w:val="31337532"/>
    <w:rsid w:val="313A1C55"/>
    <w:rsid w:val="313A2CAC"/>
    <w:rsid w:val="313E6356"/>
    <w:rsid w:val="31460C29"/>
    <w:rsid w:val="314B3239"/>
    <w:rsid w:val="31596E9F"/>
    <w:rsid w:val="315B21E9"/>
    <w:rsid w:val="315B5E62"/>
    <w:rsid w:val="31604DC0"/>
    <w:rsid w:val="31607973"/>
    <w:rsid w:val="3163108E"/>
    <w:rsid w:val="3167538F"/>
    <w:rsid w:val="316A2AFE"/>
    <w:rsid w:val="317544CD"/>
    <w:rsid w:val="31765162"/>
    <w:rsid w:val="317A487D"/>
    <w:rsid w:val="317D76C8"/>
    <w:rsid w:val="31833BCE"/>
    <w:rsid w:val="318A1515"/>
    <w:rsid w:val="31944F6F"/>
    <w:rsid w:val="31963456"/>
    <w:rsid w:val="31A47F00"/>
    <w:rsid w:val="31A51052"/>
    <w:rsid w:val="31A77BCC"/>
    <w:rsid w:val="31A84B64"/>
    <w:rsid w:val="31B12D3C"/>
    <w:rsid w:val="31B2653B"/>
    <w:rsid w:val="31B266EC"/>
    <w:rsid w:val="31B45163"/>
    <w:rsid w:val="31B81D35"/>
    <w:rsid w:val="31C3729F"/>
    <w:rsid w:val="31CB617D"/>
    <w:rsid w:val="31CC0ECB"/>
    <w:rsid w:val="31DD2EC1"/>
    <w:rsid w:val="31DF1DB8"/>
    <w:rsid w:val="31E56082"/>
    <w:rsid w:val="31F020DC"/>
    <w:rsid w:val="31F072F8"/>
    <w:rsid w:val="32061C7F"/>
    <w:rsid w:val="320A52D8"/>
    <w:rsid w:val="320D2005"/>
    <w:rsid w:val="32136025"/>
    <w:rsid w:val="32220D79"/>
    <w:rsid w:val="32252577"/>
    <w:rsid w:val="32294648"/>
    <w:rsid w:val="322F0831"/>
    <w:rsid w:val="3238009F"/>
    <w:rsid w:val="323F5519"/>
    <w:rsid w:val="32442E52"/>
    <w:rsid w:val="32471CC6"/>
    <w:rsid w:val="324F0134"/>
    <w:rsid w:val="32540593"/>
    <w:rsid w:val="32575B7F"/>
    <w:rsid w:val="32582CC3"/>
    <w:rsid w:val="327179A4"/>
    <w:rsid w:val="32775626"/>
    <w:rsid w:val="32835AB1"/>
    <w:rsid w:val="328A3A5F"/>
    <w:rsid w:val="328D7371"/>
    <w:rsid w:val="328E2231"/>
    <w:rsid w:val="329326B7"/>
    <w:rsid w:val="329426A2"/>
    <w:rsid w:val="329708DE"/>
    <w:rsid w:val="32AD1211"/>
    <w:rsid w:val="32BE0045"/>
    <w:rsid w:val="32E12F9A"/>
    <w:rsid w:val="32E87F66"/>
    <w:rsid w:val="32E97C5E"/>
    <w:rsid w:val="32EC46FB"/>
    <w:rsid w:val="32FF12B8"/>
    <w:rsid w:val="330073AA"/>
    <w:rsid w:val="33020BF1"/>
    <w:rsid w:val="330710D7"/>
    <w:rsid w:val="331264BB"/>
    <w:rsid w:val="331E3887"/>
    <w:rsid w:val="33224534"/>
    <w:rsid w:val="332742E9"/>
    <w:rsid w:val="332850C4"/>
    <w:rsid w:val="332A1AC1"/>
    <w:rsid w:val="332C71E1"/>
    <w:rsid w:val="332E1BC2"/>
    <w:rsid w:val="332F3B66"/>
    <w:rsid w:val="333B116B"/>
    <w:rsid w:val="333E2024"/>
    <w:rsid w:val="33427ABB"/>
    <w:rsid w:val="33616D4E"/>
    <w:rsid w:val="338134D4"/>
    <w:rsid w:val="33821BAB"/>
    <w:rsid w:val="338378EA"/>
    <w:rsid w:val="33885755"/>
    <w:rsid w:val="339E18BC"/>
    <w:rsid w:val="33A57822"/>
    <w:rsid w:val="33A77C3C"/>
    <w:rsid w:val="33AA7345"/>
    <w:rsid w:val="33B37087"/>
    <w:rsid w:val="33BA7C82"/>
    <w:rsid w:val="33BC4D91"/>
    <w:rsid w:val="33BF4D9D"/>
    <w:rsid w:val="33C233CD"/>
    <w:rsid w:val="33C504FF"/>
    <w:rsid w:val="33C968FA"/>
    <w:rsid w:val="33D23DF5"/>
    <w:rsid w:val="33D246C3"/>
    <w:rsid w:val="33DF11C8"/>
    <w:rsid w:val="33E442C9"/>
    <w:rsid w:val="33E61B12"/>
    <w:rsid w:val="33EF44FC"/>
    <w:rsid w:val="33F751C3"/>
    <w:rsid w:val="33FB4B21"/>
    <w:rsid w:val="33FE7E15"/>
    <w:rsid w:val="33FF1154"/>
    <w:rsid w:val="340074AF"/>
    <w:rsid w:val="340948E1"/>
    <w:rsid w:val="340D3904"/>
    <w:rsid w:val="341212B1"/>
    <w:rsid w:val="341321BE"/>
    <w:rsid w:val="34155C01"/>
    <w:rsid w:val="34293255"/>
    <w:rsid w:val="34314E1D"/>
    <w:rsid w:val="34315823"/>
    <w:rsid w:val="34374868"/>
    <w:rsid w:val="343D2D4C"/>
    <w:rsid w:val="34417702"/>
    <w:rsid w:val="34417EB0"/>
    <w:rsid w:val="3446518F"/>
    <w:rsid w:val="344A296C"/>
    <w:rsid w:val="344C25CD"/>
    <w:rsid w:val="344E045C"/>
    <w:rsid w:val="344F610D"/>
    <w:rsid w:val="34512060"/>
    <w:rsid w:val="345232B0"/>
    <w:rsid w:val="345A0779"/>
    <w:rsid w:val="345B15DB"/>
    <w:rsid w:val="346B1ADA"/>
    <w:rsid w:val="346C4A94"/>
    <w:rsid w:val="346E7A5A"/>
    <w:rsid w:val="3477244E"/>
    <w:rsid w:val="34782617"/>
    <w:rsid w:val="347946FA"/>
    <w:rsid w:val="347A6171"/>
    <w:rsid w:val="348146D7"/>
    <w:rsid w:val="348440EB"/>
    <w:rsid w:val="348D33D3"/>
    <w:rsid w:val="3496737A"/>
    <w:rsid w:val="349C03F2"/>
    <w:rsid w:val="34A238C5"/>
    <w:rsid w:val="34AC0653"/>
    <w:rsid w:val="34AC2DE9"/>
    <w:rsid w:val="34B24855"/>
    <w:rsid w:val="34B55560"/>
    <w:rsid w:val="34B84D9B"/>
    <w:rsid w:val="34BE7103"/>
    <w:rsid w:val="34C82B00"/>
    <w:rsid w:val="34C9343D"/>
    <w:rsid w:val="34CE3369"/>
    <w:rsid w:val="34DC1C67"/>
    <w:rsid w:val="34E416EC"/>
    <w:rsid w:val="34E47162"/>
    <w:rsid w:val="34E664D6"/>
    <w:rsid w:val="34F64CDD"/>
    <w:rsid w:val="34FF095B"/>
    <w:rsid w:val="3500311A"/>
    <w:rsid w:val="350B76BF"/>
    <w:rsid w:val="350C5C16"/>
    <w:rsid w:val="351710F0"/>
    <w:rsid w:val="351F4B47"/>
    <w:rsid w:val="352B4097"/>
    <w:rsid w:val="352E435E"/>
    <w:rsid w:val="3534069E"/>
    <w:rsid w:val="353807E2"/>
    <w:rsid w:val="353D45FA"/>
    <w:rsid w:val="353F0E06"/>
    <w:rsid w:val="35422CF2"/>
    <w:rsid w:val="354933C6"/>
    <w:rsid w:val="35505013"/>
    <w:rsid w:val="35531CAD"/>
    <w:rsid w:val="3559121F"/>
    <w:rsid w:val="356D51F7"/>
    <w:rsid w:val="35735BCB"/>
    <w:rsid w:val="357972DF"/>
    <w:rsid w:val="357D79D3"/>
    <w:rsid w:val="35804F9D"/>
    <w:rsid w:val="35843B49"/>
    <w:rsid w:val="35884385"/>
    <w:rsid w:val="35890016"/>
    <w:rsid w:val="358B0F26"/>
    <w:rsid w:val="35924A15"/>
    <w:rsid w:val="359753B1"/>
    <w:rsid w:val="35A251D2"/>
    <w:rsid w:val="35A25468"/>
    <w:rsid w:val="35AC56FE"/>
    <w:rsid w:val="35C3354B"/>
    <w:rsid w:val="35C8705E"/>
    <w:rsid w:val="35CB283C"/>
    <w:rsid w:val="35D02A2E"/>
    <w:rsid w:val="35D16387"/>
    <w:rsid w:val="35DF2011"/>
    <w:rsid w:val="35E1012B"/>
    <w:rsid w:val="35E1505C"/>
    <w:rsid w:val="35E328B8"/>
    <w:rsid w:val="35E3701E"/>
    <w:rsid w:val="35E420DE"/>
    <w:rsid w:val="35E607CD"/>
    <w:rsid w:val="35EB34A9"/>
    <w:rsid w:val="35EC6F4A"/>
    <w:rsid w:val="35EE6A38"/>
    <w:rsid w:val="35F5734F"/>
    <w:rsid w:val="35F65884"/>
    <w:rsid w:val="35F715DC"/>
    <w:rsid w:val="36023BFE"/>
    <w:rsid w:val="36057267"/>
    <w:rsid w:val="360632C2"/>
    <w:rsid w:val="362131A7"/>
    <w:rsid w:val="362E1546"/>
    <w:rsid w:val="36330CA5"/>
    <w:rsid w:val="363F061B"/>
    <w:rsid w:val="364236D7"/>
    <w:rsid w:val="3654563C"/>
    <w:rsid w:val="365763B3"/>
    <w:rsid w:val="366F70DE"/>
    <w:rsid w:val="367C0A7E"/>
    <w:rsid w:val="36856B5A"/>
    <w:rsid w:val="36883C27"/>
    <w:rsid w:val="36950061"/>
    <w:rsid w:val="36A32443"/>
    <w:rsid w:val="36A61ADA"/>
    <w:rsid w:val="36AC504E"/>
    <w:rsid w:val="36AE7AB6"/>
    <w:rsid w:val="36B45F51"/>
    <w:rsid w:val="36B7013F"/>
    <w:rsid w:val="36D37FB9"/>
    <w:rsid w:val="36D40D9D"/>
    <w:rsid w:val="36D71D0D"/>
    <w:rsid w:val="36DC4984"/>
    <w:rsid w:val="36E17BD4"/>
    <w:rsid w:val="36E30071"/>
    <w:rsid w:val="36E31151"/>
    <w:rsid w:val="36E61D1E"/>
    <w:rsid w:val="36EF4947"/>
    <w:rsid w:val="36F76FAD"/>
    <w:rsid w:val="37060D5C"/>
    <w:rsid w:val="370F6D7D"/>
    <w:rsid w:val="3711176D"/>
    <w:rsid w:val="37113E21"/>
    <w:rsid w:val="37244D17"/>
    <w:rsid w:val="373F483B"/>
    <w:rsid w:val="37451D56"/>
    <w:rsid w:val="374A1080"/>
    <w:rsid w:val="375C645A"/>
    <w:rsid w:val="37633810"/>
    <w:rsid w:val="376A27F4"/>
    <w:rsid w:val="37737FCD"/>
    <w:rsid w:val="377E4EC2"/>
    <w:rsid w:val="37831AFE"/>
    <w:rsid w:val="37855CA5"/>
    <w:rsid w:val="379747E4"/>
    <w:rsid w:val="37A10A3C"/>
    <w:rsid w:val="37A32862"/>
    <w:rsid w:val="37A771F1"/>
    <w:rsid w:val="37A83EE9"/>
    <w:rsid w:val="37AA1FED"/>
    <w:rsid w:val="37B033F0"/>
    <w:rsid w:val="37B25951"/>
    <w:rsid w:val="37B82D37"/>
    <w:rsid w:val="37BB1880"/>
    <w:rsid w:val="37BF7DD8"/>
    <w:rsid w:val="37CA6F5D"/>
    <w:rsid w:val="37CF39F4"/>
    <w:rsid w:val="37DE142C"/>
    <w:rsid w:val="37DF4E44"/>
    <w:rsid w:val="38093CF4"/>
    <w:rsid w:val="38132FDB"/>
    <w:rsid w:val="381523AC"/>
    <w:rsid w:val="3816611D"/>
    <w:rsid w:val="381A7833"/>
    <w:rsid w:val="381D6FCC"/>
    <w:rsid w:val="38255502"/>
    <w:rsid w:val="382563C3"/>
    <w:rsid w:val="382B10C6"/>
    <w:rsid w:val="383D4592"/>
    <w:rsid w:val="384502C9"/>
    <w:rsid w:val="384757BF"/>
    <w:rsid w:val="384A568A"/>
    <w:rsid w:val="384C2E85"/>
    <w:rsid w:val="384D7A6B"/>
    <w:rsid w:val="38527F5E"/>
    <w:rsid w:val="38576EB1"/>
    <w:rsid w:val="385B78DA"/>
    <w:rsid w:val="385E7289"/>
    <w:rsid w:val="386B3647"/>
    <w:rsid w:val="386E60E1"/>
    <w:rsid w:val="386F64C6"/>
    <w:rsid w:val="38724636"/>
    <w:rsid w:val="38755246"/>
    <w:rsid w:val="38850F2D"/>
    <w:rsid w:val="388A7003"/>
    <w:rsid w:val="388F47CD"/>
    <w:rsid w:val="3891497A"/>
    <w:rsid w:val="38921D1F"/>
    <w:rsid w:val="38934709"/>
    <w:rsid w:val="3899545E"/>
    <w:rsid w:val="389B63CB"/>
    <w:rsid w:val="389D36E7"/>
    <w:rsid w:val="38A039DA"/>
    <w:rsid w:val="38AD0AAC"/>
    <w:rsid w:val="38AF121A"/>
    <w:rsid w:val="38B10DA8"/>
    <w:rsid w:val="38B94B51"/>
    <w:rsid w:val="38B976FB"/>
    <w:rsid w:val="38BB5EDA"/>
    <w:rsid w:val="38C6779A"/>
    <w:rsid w:val="38DC2A26"/>
    <w:rsid w:val="38DC5040"/>
    <w:rsid w:val="38EA0958"/>
    <w:rsid w:val="38EA292A"/>
    <w:rsid w:val="38EB3140"/>
    <w:rsid w:val="38F71493"/>
    <w:rsid w:val="38FC7F68"/>
    <w:rsid w:val="390150BD"/>
    <w:rsid w:val="39015BC8"/>
    <w:rsid w:val="39024400"/>
    <w:rsid w:val="390A29CF"/>
    <w:rsid w:val="39132EBE"/>
    <w:rsid w:val="3923223F"/>
    <w:rsid w:val="392C3404"/>
    <w:rsid w:val="393D3E8F"/>
    <w:rsid w:val="393F3649"/>
    <w:rsid w:val="39434B25"/>
    <w:rsid w:val="39442CC4"/>
    <w:rsid w:val="39473C95"/>
    <w:rsid w:val="394A3B36"/>
    <w:rsid w:val="394C053B"/>
    <w:rsid w:val="394E0439"/>
    <w:rsid w:val="39532D05"/>
    <w:rsid w:val="395A1855"/>
    <w:rsid w:val="395E1405"/>
    <w:rsid w:val="3962425A"/>
    <w:rsid w:val="396E504E"/>
    <w:rsid w:val="396F7993"/>
    <w:rsid w:val="39741673"/>
    <w:rsid w:val="397F2866"/>
    <w:rsid w:val="39850A26"/>
    <w:rsid w:val="39893783"/>
    <w:rsid w:val="399108C7"/>
    <w:rsid w:val="399B6654"/>
    <w:rsid w:val="399C23C2"/>
    <w:rsid w:val="399E7C65"/>
    <w:rsid w:val="39A118CD"/>
    <w:rsid w:val="39A337DD"/>
    <w:rsid w:val="39B0295E"/>
    <w:rsid w:val="39B1002C"/>
    <w:rsid w:val="39B75345"/>
    <w:rsid w:val="39BA1CF7"/>
    <w:rsid w:val="39BA2065"/>
    <w:rsid w:val="39C83126"/>
    <w:rsid w:val="39CD4753"/>
    <w:rsid w:val="39D037AF"/>
    <w:rsid w:val="39D466BD"/>
    <w:rsid w:val="39D7158B"/>
    <w:rsid w:val="39D9675C"/>
    <w:rsid w:val="39DC1B39"/>
    <w:rsid w:val="39DE503F"/>
    <w:rsid w:val="39E03897"/>
    <w:rsid w:val="39E125BA"/>
    <w:rsid w:val="39EE1B0B"/>
    <w:rsid w:val="39F17FFD"/>
    <w:rsid w:val="39F24322"/>
    <w:rsid w:val="39FA1859"/>
    <w:rsid w:val="39FE1307"/>
    <w:rsid w:val="3A03384A"/>
    <w:rsid w:val="3A066160"/>
    <w:rsid w:val="3A083121"/>
    <w:rsid w:val="3A0D48B1"/>
    <w:rsid w:val="3A1810FA"/>
    <w:rsid w:val="3A2441B7"/>
    <w:rsid w:val="3A274488"/>
    <w:rsid w:val="3A28048B"/>
    <w:rsid w:val="3A336331"/>
    <w:rsid w:val="3A425B7A"/>
    <w:rsid w:val="3A431472"/>
    <w:rsid w:val="3A474B1C"/>
    <w:rsid w:val="3A5207B4"/>
    <w:rsid w:val="3A541BF5"/>
    <w:rsid w:val="3A553D9F"/>
    <w:rsid w:val="3A597477"/>
    <w:rsid w:val="3A5A285A"/>
    <w:rsid w:val="3A5E32B9"/>
    <w:rsid w:val="3A646A00"/>
    <w:rsid w:val="3A697F71"/>
    <w:rsid w:val="3A6A4AC7"/>
    <w:rsid w:val="3A6E26C3"/>
    <w:rsid w:val="3A6F0BDF"/>
    <w:rsid w:val="3A72622B"/>
    <w:rsid w:val="3A75769F"/>
    <w:rsid w:val="3A7A025B"/>
    <w:rsid w:val="3A7E2244"/>
    <w:rsid w:val="3A861E9F"/>
    <w:rsid w:val="3A897BA1"/>
    <w:rsid w:val="3A9038DA"/>
    <w:rsid w:val="3A936647"/>
    <w:rsid w:val="3A9E4B32"/>
    <w:rsid w:val="3A9F1B2C"/>
    <w:rsid w:val="3AA04C49"/>
    <w:rsid w:val="3AA54470"/>
    <w:rsid w:val="3AA913CF"/>
    <w:rsid w:val="3AB86069"/>
    <w:rsid w:val="3AC036CC"/>
    <w:rsid w:val="3AC205A6"/>
    <w:rsid w:val="3AC257A4"/>
    <w:rsid w:val="3AC334CD"/>
    <w:rsid w:val="3ACF5E01"/>
    <w:rsid w:val="3AD16134"/>
    <w:rsid w:val="3AD17EBD"/>
    <w:rsid w:val="3ADE382E"/>
    <w:rsid w:val="3AEA3CFC"/>
    <w:rsid w:val="3AF044A5"/>
    <w:rsid w:val="3AF153E6"/>
    <w:rsid w:val="3AFC4CC9"/>
    <w:rsid w:val="3B00301D"/>
    <w:rsid w:val="3B1752EE"/>
    <w:rsid w:val="3B1C35AC"/>
    <w:rsid w:val="3B1F0CAE"/>
    <w:rsid w:val="3B22468C"/>
    <w:rsid w:val="3B292A67"/>
    <w:rsid w:val="3B3155AA"/>
    <w:rsid w:val="3B3E0B10"/>
    <w:rsid w:val="3B4F1508"/>
    <w:rsid w:val="3B580D61"/>
    <w:rsid w:val="3B64699C"/>
    <w:rsid w:val="3B696BF9"/>
    <w:rsid w:val="3B6F0DCA"/>
    <w:rsid w:val="3B754E06"/>
    <w:rsid w:val="3B7B2B0A"/>
    <w:rsid w:val="3B7C7B97"/>
    <w:rsid w:val="3B8372AE"/>
    <w:rsid w:val="3B914065"/>
    <w:rsid w:val="3B9F483C"/>
    <w:rsid w:val="3BB249F7"/>
    <w:rsid w:val="3BBE3122"/>
    <w:rsid w:val="3BC20515"/>
    <w:rsid w:val="3BC53C74"/>
    <w:rsid w:val="3BC60370"/>
    <w:rsid w:val="3BC62C0D"/>
    <w:rsid w:val="3BC772AB"/>
    <w:rsid w:val="3BC812C8"/>
    <w:rsid w:val="3BD741DE"/>
    <w:rsid w:val="3BE7491F"/>
    <w:rsid w:val="3BE82033"/>
    <w:rsid w:val="3BEF3F98"/>
    <w:rsid w:val="3BF01125"/>
    <w:rsid w:val="3BF1165C"/>
    <w:rsid w:val="3BF82655"/>
    <w:rsid w:val="3BF90B59"/>
    <w:rsid w:val="3C035D20"/>
    <w:rsid w:val="3C0C1C74"/>
    <w:rsid w:val="3C12184A"/>
    <w:rsid w:val="3C165216"/>
    <w:rsid w:val="3C20030B"/>
    <w:rsid w:val="3C220A63"/>
    <w:rsid w:val="3C257E8D"/>
    <w:rsid w:val="3C286FD8"/>
    <w:rsid w:val="3C326DEB"/>
    <w:rsid w:val="3C393537"/>
    <w:rsid w:val="3C3C1378"/>
    <w:rsid w:val="3C497D33"/>
    <w:rsid w:val="3C5A342C"/>
    <w:rsid w:val="3C5C0867"/>
    <w:rsid w:val="3C656EED"/>
    <w:rsid w:val="3C685003"/>
    <w:rsid w:val="3C6D452D"/>
    <w:rsid w:val="3C6E7843"/>
    <w:rsid w:val="3C727A71"/>
    <w:rsid w:val="3C732FE2"/>
    <w:rsid w:val="3C786DE5"/>
    <w:rsid w:val="3C7A20C3"/>
    <w:rsid w:val="3C7A3669"/>
    <w:rsid w:val="3C7D3E58"/>
    <w:rsid w:val="3C882BD0"/>
    <w:rsid w:val="3C94545E"/>
    <w:rsid w:val="3C975DCC"/>
    <w:rsid w:val="3C9912FB"/>
    <w:rsid w:val="3CAE0651"/>
    <w:rsid w:val="3CBC2D9B"/>
    <w:rsid w:val="3CC5588D"/>
    <w:rsid w:val="3CCD1D16"/>
    <w:rsid w:val="3CD83C07"/>
    <w:rsid w:val="3CD85D57"/>
    <w:rsid w:val="3CD87AA0"/>
    <w:rsid w:val="3CDA5112"/>
    <w:rsid w:val="3CDB62C1"/>
    <w:rsid w:val="3CE13BDF"/>
    <w:rsid w:val="3CE26359"/>
    <w:rsid w:val="3CE70364"/>
    <w:rsid w:val="3CFD4D35"/>
    <w:rsid w:val="3D064D69"/>
    <w:rsid w:val="3D0E3667"/>
    <w:rsid w:val="3D0E399D"/>
    <w:rsid w:val="3D123F8D"/>
    <w:rsid w:val="3D12721E"/>
    <w:rsid w:val="3D1B45BC"/>
    <w:rsid w:val="3D27093B"/>
    <w:rsid w:val="3D351ADA"/>
    <w:rsid w:val="3D3D6CB6"/>
    <w:rsid w:val="3D444248"/>
    <w:rsid w:val="3D4B2FA5"/>
    <w:rsid w:val="3D527DA5"/>
    <w:rsid w:val="3D546058"/>
    <w:rsid w:val="3D5461A9"/>
    <w:rsid w:val="3D58650A"/>
    <w:rsid w:val="3D590765"/>
    <w:rsid w:val="3D5A6060"/>
    <w:rsid w:val="3D640E16"/>
    <w:rsid w:val="3D67132F"/>
    <w:rsid w:val="3D7B0D27"/>
    <w:rsid w:val="3D7E27A0"/>
    <w:rsid w:val="3D874F51"/>
    <w:rsid w:val="3D896CEB"/>
    <w:rsid w:val="3D9A2D6C"/>
    <w:rsid w:val="3D9D0681"/>
    <w:rsid w:val="3DA2325F"/>
    <w:rsid w:val="3DAF1596"/>
    <w:rsid w:val="3DB52668"/>
    <w:rsid w:val="3DD3077A"/>
    <w:rsid w:val="3DDF7A0D"/>
    <w:rsid w:val="3DFD4BBE"/>
    <w:rsid w:val="3E00097B"/>
    <w:rsid w:val="3E011326"/>
    <w:rsid w:val="3E024B7B"/>
    <w:rsid w:val="3E104548"/>
    <w:rsid w:val="3E19435F"/>
    <w:rsid w:val="3E1B47C8"/>
    <w:rsid w:val="3E20393D"/>
    <w:rsid w:val="3E205773"/>
    <w:rsid w:val="3E264105"/>
    <w:rsid w:val="3E264903"/>
    <w:rsid w:val="3E2806A1"/>
    <w:rsid w:val="3E2E35CB"/>
    <w:rsid w:val="3E31025E"/>
    <w:rsid w:val="3E342DA3"/>
    <w:rsid w:val="3E471ABE"/>
    <w:rsid w:val="3E4755F9"/>
    <w:rsid w:val="3E492A39"/>
    <w:rsid w:val="3E4B1409"/>
    <w:rsid w:val="3E556354"/>
    <w:rsid w:val="3E6336EF"/>
    <w:rsid w:val="3E660D1B"/>
    <w:rsid w:val="3E6E2E9E"/>
    <w:rsid w:val="3E8222F7"/>
    <w:rsid w:val="3E8258B1"/>
    <w:rsid w:val="3E8821CE"/>
    <w:rsid w:val="3E92738B"/>
    <w:rsid w:val="3E99456A"/>
    <w:rsid w:val="3EA0570F"/>
    <w:rsid w:val="3EA2409C"/>
    <w:rsid w:val="3EA758E3"/>
    <w:rsid w:val="3EAD3D57"/>
    <w:rsid w:val="3EAF02B7"/>
    <w:rsid w:val="3EB1188E"/>
    <w:rsid w:val="3EB428B4"/>
    <w:rsid w:val="3EBD63D7"/>
    <w:rsid w:val="3EC07733"/>
    <w:rsid w:val="3EC334A7"/>
    <w:rsid w:val="3EC678BC"/>
    <w:rsid w:val="3ECC70B0"/>
    <w:rsid w:val="3ED01824"/>
    <w:rsid w:val="3EE067CA"/>
    <w:rsid w:val="3EE919E0"/>
    <w:rsid w:val="3EEF26AB"/>
    <w:rsid w:val="3EF21C38"/>
    <w:rsid w:val="3EF57D05"/>
    <w:rsid w:val="3EF96B38"/>
    <w:rsid w:val="3F002CCF"/>
    <w:rsid w:val="3F0566FF"/>
    <w:rsid w:val="3F0605BE"/>
    <w:rsid w:val="3F06365D"/>
    <w:rsid w:val="3F0A3CA5"/>
    <w:rsid w:val="3F0B1DB8"/>
    <w:rsid w:val="3F0C44E7"/>
    <w:rsid w:val="3F0E6EA3"/>
    <w:rsid w:val="3F122278"/>
    <w:rsid w:val="3F155D82"/>
    <w:rsid w:val="3F261DEC"/>
    <w:rsid w:val="3F305E06"/>
    <w:rsid w:val="3F3737F8"/>
    <w:rsid w:val="3F453E8A"/>
    <w:rsid w:val="3F47737F"/>
    <w:rsid w:val="3F523976"/>
    <w:rsid w:val="3F52626A"/>
    <w:rsid w:val="3F5322DF"/>
    <w:rsid w:val="3F556A35"/>
    <w:rsid w:val="3F5867B3"/>
    <w:rsid w:val="3F595294"/>
    <w:rsid w:val="3F5A301C"/>
    <w:rsid w:val="3F637202"/>
    <w:rsid w:val="3F65418C"/>
    <w:rsid w:val="3F664F14"/>
    <w:rsid w:val="3F6763B0"/>
    <w:rsid w:val="3F6D1D36"/>
    <w:rsid w:val="3F6D2017"/>
    <w:rsid w:val="3F7339EB"/>
    <w:rsid w:val="3F770167"/>
    <w:rsid w:val="3F7D65D1"/>
    <w:rsid w:val="3F836296"/>
    <w:rsid w:val="3F9526FD"/>
    <w:rsid w:val="3F960218"/>
    <w:rsid w:val="3F9956BA"/>
    <w:rsid w:val="3F9B508E"/>
    <w:rsid w:val="3FA01128"/>
    <w:rsid w:val="3FA10F73"/>
    <w:rsid w:val="3FA51002"/>
    <w:rsid w:val="3FA5548C"/>
    <w:rsid w:val="3FAE5C18"/>
    <w:rsid w:val="3FB1448E"/>
    <w:rsid w:val="3FB33F0F"/>
    <w:rsid w:val="3FB56B87"/>
    <w:rsid w:val="3FB827B0"/>
    <w:rsid w:val="3FB9798A"/>
    <w:rsid w:val="3FBC4DF5"/>
    <w:rsid w:val="3FBE226E"/>
    <w:rsid w:val="3FC74EA5"/>
    <w:rsid w:val="3FC80A13"/>
    <w:rsid w:val="3FC924C5"/>
    <w:rsid w:val="3FD001E0"/>
    <w:rsid w:val="3FD35125"/>
    <w:rsid w:val="3FDD5AA3"/>
    <w:rsid w:val="3FDD60EB"/>
    <w:rsid w:val="3FE1611D"/>
    <w:rsid w:val="3FE9762E"/>
    <w:rsid w:val="3FEB7EF7"/>
    <w:rsid w:val="3FF0534A"/>
    <w:rsid w:val="3FF07D9D"/>
    <w:rsid w:val="3FFC6AA1"/>
    <w:rsid w:val="3FFE725C"/>
    <w:rsid w:val="400D4689"/>
    <w:rsid w:val="40171E63"/>
    <w:rsid w:val="401B305E"/>
    <w:rsid w:val="401C023A"/>
    <w:rsid w:val="401E624D"/>
    <w:rsid w:val="403C6E09"/>
    <w:rsid w:val="4040700B"/>
    <w:rsid w:val="40505926"/>
    <w:rsid w:val="405074F9"/>
    <w:rsid w:val="40592E1A"/>
    <w:rsid w:val="40742B10"/>
    <w:rsid w:val="40851F94"/>
    <w:rsid w:val="40860806"/>
    <w:rsid w:val="408727EE"/>
    <w:rsid w:val="40881B05"/>
    <w:rsid w:val="408B015C"/>
    <w:rsid w:val="408D2092"/>
    <w:rsid w:val="40987E91"/>
    <w:rsid w:val="40AE535D"/>
    <w:rsid w:val="40B323C5"/>
    <w:rsid w:val="40B40F93"/>
    <w:rsid w:val="40B77C21"/>
    <w:rsid w:val="40BB1B3B"/>
    <w:rsid w:val="40BE2CAE"/>
    <w:rsid w:val="40C87F0D"/>
    <w:rsid w:val="40E13187"/>
    <w:rsid w:val="40E4111E"/>
    <w:rsid w:val="40F110C9"/>
    <w:rsid w:val="40F71EFC"/>
    <w:rsid w:val="40FA7D3C"/>
    <w:rsid w:val="40FC6040"/>
    <w:rsid w:val="41013098"/>
    <w:rsid w:val="41046C1A"/>
    <w:rsid w:val="410A66D3"/>
    <w:rsid w:val="411252F5"/>
    <w:rsid w:val="41216561"/>
    <w:rsid w:val="4126157E"/>
    <w:rsid w:val="412E1703"/>
    <w:rsid w:val="41341D04"/>
    <w:rsid w:val="41463814"/>
    <w:rsid w:val="414E4666"/>
    <w:rsid w:val="415840E7"/>
    <w:rsid w:val="415C6645"/>
    <w:rsid w:val="415D4AA5"/>
    <w:rsid w:val="415E3F30"/>
    <w:rsid w:val="41634269"/>
    <w:rsid w:val="416D1041"/>
    <w:rsid w:val="416F185F"/>
    <w:rsid w:val="41755F8B"/>
    <w:rsid w:val="417E6FB2"/>
    <w:rsid w:val="41804E56"/>
    <w:rsid w:val="418B61F9"/>
    <w:rsid w:val="418C5064"/>
    <w:rsid w:val="41901D5A"/>
    <w:rsid w:val="41A26E55"/>
    <w:rsid w:val="41AE168E"/>
    <w:rsid w:val="41B000EA"/>
    <w:rsid w:val="41B625DB"/>
    <w:rsid w:val="41BB28C5"/>
    <w:rsid w:val="41C505B5"/>
    <w:rsid w:val="41D7643D"/>
    <w:rsid w:val="41D80DF6"/>
    <w:rsid w:val="41F41099"/>
    <w:rsid w:val="41F4144D"/>
    <w:rsid w:val="41F425A0"/>
    <w:rsid w:val="41FD1E4D"/>
    <w:rsid w:val="42004A07"/>
    <w:rsid w:val="42036CED"/>
    <w:rsid w:val="420445BE"/>
    <w:rsid w:val="42044B55"/>
    <w:rsid w:val="4210342F"/>
    <w:rsid w:val="42106699"/>
    <w:rsid w:val="421D3532"/>
    <w:rsid w:val="422747DE"/>
    <w:rsid w:val="423D7E2C"/>
    <w:rsid w:val="42405192"/>
    <w:rsid w:val="4253494B"/>
    <w:rsid w:val="42563DD4"/>
    <w:rsid w:val="425F0874"/>
    <w:rsid w:val="42605991"/>
    <w:rsid w:val="42624CEC"/>
    <w:rsid w:val="42667AD5"/>
    <w:rsid w:val="42672F11"/>
    <w:rsid w:val="426B2083"/>
    <w:rsid w:val="42745271"/>
    <w:rsid w:val="42746AFF"/>
    <w:rsid w:val="427A2426"/>
    <w:rsid w:val="428622E0"/>
    <w:rsid w:val="428740C5"/>
    <w:rsid w:val="4295023B"/>
    <w:rsid w:val="42A72E3E"/>
    <w:rsid w:val="42A9771E"/>
    <w:rsid w:val="42AB3CF1"/>
    <w:rsid w:val="42AF06BF"/>
    <w:rsid w:val="42AF744D"/>
    <w:rsid w:val="42B57D24"/>
    <w:rsid w:val="42B97DE2"/>
    <w:rsid w:val="42BE1411"/>
    <w:rsid w:val="42BF0482"/>
    <w:rsid w:val="42C3638C"/>
    <w:rsid w:val="42C8399F"/>
    <w:rsid w:val="42CC1C77"/>
    <w:rsid w:val="42CE7CBC"/>
    <w:rsid w:val="42E67A2D"/>
    <w:rsid w:val="42EF6EDD"/>
    <w:rsid w:val="42F63370"/>
    <w:rsid w:val="4303189E"/>
    <w:rsid w:val="43043B4B"/>
    <w:rsid w:val="430C0701"/>
    <w:rsid w:val="431D662D"/>
    <w:rsid w:val="431D7413"/>
    <w:rsid w:val="43230977"/>
    <w:rsid w:val="43260906"/>
    <w:rsid w:val="4329778C"/>
    <w:rsid w:val="432A433E"/>
    <w:rsid w:val="432F48E4"/>
    <w:rsid w:val="433451E7"/>
    <w:rsid w:val="433454E3"/>
    <w:rsid w:val="43380FA2"/>
    <w:rsid w:val="433914CB"/>
    <w:rsid w:val="434030C7"/>
    <w:rsid w:val="43413F90"/>
    <w:rsid w:val="434321EE"/>
    <w:rsid w:val="434C3803"/>
    <w:rsid w:val="4357411B"/>
    <w:rsid w:val="43624524"/>
    <w:rsid w:val="436E4602"/>
    <w:rsid w:val="43773B38"/>
    <w:rsid w:val="437C303F"/>
    <w:rsid w:val="437E59F4"/>
    <w:rsid w:val="437F0235"/>
    <w:rsid w:val="438108B1"/>
    <w:rsid w:val="438127FD"/>
    <w:rsid w:val="438C318F"/>
    <w:rsid w:val="438D2962"/>
    <w:rsid w:val="439125BA"/>
    <w:rsid w:val="439B6E00"/>
    <w:rsid w:val="439E21D0"/>
    <w:rsid w:val="43A136C2"/>
    <w:rsid w:val="43A47C8D"/>
    <w:rsid w:val="43A51CEB"/>
    <w:rsid w:val="43A922AD"/>
    <w:rsid w:val="43AE228C"/>
    <w:rsid w:val="43B03D9F"/>
    <w:rsid w:val="43B2322B"/>
    <w:rsid w:val="43B27B0F"/>
    <w:rsid w:val="43BD17B6"/>
    <w:rsid w:val="43BF433F"/>
    <w:rsid w:val="43C60D41"/>
    <w:rsid w:val="43C71A8C"/>
    <w:rsid w:val="43CB49D5"/>
    <w:rsid w:val="43CC296D"/>
    <w:rsid w:val="43D10BA3"/>
    <w:rsid w:val="43D51B86"/>
    <w:rsid w:val="43D5596E"/>
    <w:rsid w:val="43D946DF"/>
    <w:rsid w:val="43DD3E84"/>
    <w:rsid w:val="43E63A35"/>
    <w:rsid w:val="43EA4AD8"/>
    <w:rsid w:val="43EA731F"/>
    <w:rsid w:val="43EF4362"/>
    <w:rsid w:val="43F5608C"/>
    <w:rsid w:val="43FA20D7"/>
    <w:rsid w:val="440433D0"/>
    <w:rsid w:val="44081998"/>
    <w:rsid w:val="440A1D09"/>
    <w:rsid w:val="44105FE6"/>
    <w:rsid w:val="44163757"/>
    <w:rsid w:val="442E6250"/>
    <w:rsid w:val="44304862"/>
    <w:rsid w:val="44336B29"/>
    <w:rsid w:val="44411D78"/>
    <w:rsid w:val="444255C8"/>
    <w:rsid w:val="44555450"/>
    <w:rsid w:val="44565401"/>
    <w:rsid w:val="445C184B"/>
    <w:rsid w:val="445C1F8C"/>
    <w:rsid w:val="445C2CEB"/>
    <w:rsid w:val="44623D2C"/>
    <w:rsid w:val="4469425C"/>
    <w:rsid w:val="446C5925"/>
    <w:rsid w:val="44715BA6"/>
    <w:rsid w:val="44744DE1"/>
    <w:rsid w:val="4480267E"/>
    <w:rsid w:val="44813BCD"/>
    <w:rsid w:val="44825908"/>
    <w:rsid w:val="448F333F"/>
    <w:rsid w:val="449A5595"/>
    <w:rsid w:val="44A273D7"/>
    <w:rsid w:val="44A3165A"/>
    <w:rsid w:val="44A949BB"/>
    <w:rsid w:val="44B47D28"/>
    <w:rsid w:val="44BE6AFA"/>
    <w:rsid w:val="44BE7B38"/>
    <w:rsid w:val="44C10C52"/>
    <w:rsid w:val="44C4343F"/>
    <w:rsid w:val="44CC5637"/>
    <w:rsid w:val="44CE1860"/>
    <w:rsid w:val="44D01EAB"/>
    <w:rsid w:val="44D61276"/>
    <w:rsid w:val="44F05372"/>
    <w:rsid w:val="44F550F4"/>
    <w:rsid w:val="44FB2020"/>
    <w:rsid w:val="450005C9"/>
    <w:rsid w:val="450E225C"/>
    <w:rsid w:val="450E5F3E"/>
    <w:rsid w:val="45156B4C"/>
    <w:rsid w:val="451C3C3F"/>
    <w:rsid w:val="45202195"/>
    <w:rsid w:val="45282E33"/>
    <w:rsid w:val="45361C96"/>
    <w:rsid w:val="45367180"/>
    <w:rsid w:val="453936A0"/>
    <w:rsid w:val="454B27CA"/>
    <w:rsid w:val="4555071F"/>
    <w:rsid w:val="455B027F"/>
    <w:rsid w:val="45634F36"/>
    <w:rsid w:val="45642839"/>
    <w:rsid w:val="456433C3"/>
    <w:rsid w:val="4566286A"/>
    <w:rsid w:val="456653F0"/>
    <w:rsid w:val="456745BB"/>
    <w:rsid w:val="45677DA7"/>
    <w:rsid w:val="45736E48"/>
    <w:rsid w:val="45743F66"/>
    <w:rsid w:val="45761FD8"/>
    <w:rsid w:val="457B0C49"/>
    <w:rsid w:val="45864B77"/>
    <w:rsid w:val="458A06CD"/>
    <w:rsid w:val="458D3A63"/>
    <w:rsid w:val="4597177B"/>
    <w:rsid w:val="45A85821"/>
    <w:rsid w:val="45AA0EA4"/>
    <w:rsid w:val="45AC57A6"/>
    <w:rsid w:val="45AF03CF"/>
    <w:rsid w:val="45B23BD8"/>
    <w:rsid w:val="45B31674"/>
    <w:rsid w:val="45B52BBB"/>
    <w:rsid w:val="45C3178B"/>
    <w:rsid w:val="45C56C6C"/>
    <w:rsid w:val="45C67344"/>
    <w:rsid w:val="45C81474"/>
    <w:rsid w:val="45C85D55"/>
    <w:rsid w:val="45C91BC6"/>
    <w:rsid w:val="45CD1312"/>
    <w:rsid w:val="45CE3F02"/>
    <w:rsid w:val="45D15325"/>
    <w:rsid w:val="45DE2684"/>
    <w:rsid w:val="45E349A9"/>
    <w:rsid w:val="45F22D7B"/>
    <w:rsid w:val="45F25B71"/>
    <w:rsid w:val="45F6092A"/>
    <w:rsid w:val="45FD29AC"/>
    <w:rsid w:val="46122C2B"/>
    <w:rsid w:val="461E6998"/>
    <w:rsid w:val="46202725"/>
    <w:rsid w:val="4622618B"/>
    <w:rsid w:val="4624768B"/>
    <w:rsid w:val="46283409"/>
    <w:rsid w:val="462E1DEC"/>
    <w:rsid w:val="462F257F"/>
    <w:rsid w:val="46316796"/>
    <w:rsid w:val="46436765"/>
    <w:rsid w:val="464C5980"/>
    <w:rsid w:val="464C598F"/>
    <w:rsid w:val="46541012"/>
    <w:rsid w:val="46595BDC"/>
    <w:rsid w:val="465B04AA"/>
    <w:rsid w:val="466467A4"/>
    <w:rsid w:val="466B7E63"/>
    <w:rsid w:val="46726232"/>
    <w:rsid w:val="46731512"/>
    <w:rsid w:val="46795DED"/>
    <w:rsid w:val="468843FE"/>
    <w:rsid w:val="469849B7"/>
    <w:rsid w:val="46991FD8"/>
    <w:rsid w:val="469D4E61"/>
    <w:rsid w:val="46A36DFD"/>
    <w:rsid w:val="46BC2272"/>
    <w:rsid w:val="46D62B88"/>
    <w:rsid w:val="46D929E4"/>
    <w:rsid w:val="46DA3CDF"/>
    <w:rsid w:val="46DD3A97"/>
    <w:rsid w:val="46E122D5"/>
    <w:rsid w:val="46E51519"/>
    <w:rsid w:val="46E72217"/>
    <w:rsid w:val="46EB56D0"/>
    <w:rsid w:val="46EF6BE5"/>
    <w:rsid w:val="46F94629"/>
    <w:rsid w:val="46FE33A2"/>
    <w:rsid w:val="4700310A"/>
    <w:rsid w:val="47034B98"/>
    <w:rsid w:val="47067487"/>
    <w:rsid w:val="470675DD"/>
    <w:rsid w:val="47102BE0"/>
    <w:rsid w:val="47115999"/>
    <w:rsid w:val="47123D8D"/>
    <w:rsid w:val="471651A2"/>
    <w:rsid w:val="47195C33"/>
    <w:rsid w:val="472322A2"/>
    <w:rsid w:val="472E14A0"/>
    <w:rsid w:val="472F2F47"/>
    <w:rsid w:val="47304A60"/>
    <w:rsid w:val="47321070"/>
    <w:rsid w:val="47383706"/>
    <w:rsid w:val="473F3443"/>
    <w:rsid w:val="47442FEA"/>
    <w:rsid w:val="47476898"/>
    <w:rsid w:val="474825BA"/>
    <w:rsid w:val="474D1ED5"/>
    <w:rsid w:val="47524966"/>
    <w:rsid w:val="475E1AB6"/>
    <w:rsid w:val="4764753D"/>
    <w:rsid w:val="47663624"/>
    <w:rsid w:val="4779594B"/>
    <w:rsid w:val="477E3FE9"/>
    <w:rsid w:val="47861281"/>
    <w:rsid w:val="478E58BD"/>
    <w:rsid w:val="47933AFC"/>
    <w:rsid w:val="47946581"/>
    <w:rsid w:val="47997ECC"/>
    <w:rsid w:val="47A938A8"/>
    <w:rsid w:val="47AD2393"/>
    <w:rsid w:val="47AF4DB4"/>
    <w:rsid w:val="47C05960"/>
    <w:rsid w:val="47CA211A"/>
    <w:rsid w:val="47CE6AD8"/>
    <w:rsid w:val="47D00B76"/>
    <w:rsid w:val="47D266F4"/>
    <w:rsid w:val="47EB3A88"/>
    <w:rsid w:val="47ED09EA"/>
    <w:rsid w:val="47F03825"/>
    <w:rsid w:val="47F67231"/>
    <w:rsid w:val="47F72583"/>
    <w:rsid w:val="47FE4F97"/>
    <w:rsid w:val="48043BE9"/>
    <w:rsid w:val="48050F31"/>
    <w:rsid w:val="480B064E"/>
    <w:rsid w:val="48152A57"/>
    <w:rsid w:val="481B77EC"/>
    <w:rsid w:val="481F00E4"/>
    <w:rsid w:val="48230137"/>
    <w:rsid w:val="482A5E63"/>
    <w:rsid w:val="48324267"/>
    <w:rsid w:val="48357C17"/>
    <w:rsid w:val="483602D1"/>
    <w:rsid w:val="48360F72"/>
    <w:rsid w:val="48466EDC"/>
    <w:rsid w:val="486022F2"/>
    <w:rsid w:val="486505C9"/>
    <w:rsid w:val="48717233"/>
    <w:rsid w:val="487736C7"/>
    <w:rsid w:val="48794416"/>
    <w:rsid w:val="4886149A"/>
    <w:rsid w:val="48870995"/>
    <w:rsid w:val="488933F6"/>
    <w:rsid w:val="488F18B7"/>
    <w:rsid w:val="489C5A7F"/>
    <w:rsid w:val="489C5B95"/>
    <w:rsid w:val="489F248C"/>
    <w:rsid w:val="48A47128"/>
    <w:rsid w:val="48A53F58"/>
    <w:rsid w:val="48AA10E1"/>
    <w:rsid w:val="48AF1323"/>
    <w:rsid w:val="48B010C7"/>
    <w:rsid w:val="48B2080D"/>
    <w:rsid w:val="48B5518F"/>
    <w:rsid w:val="48BA7016"/>
    <w:rsid w:val="48BE6136"/>
    <w:rsid w:val="48C17060"/>
    <w:rsid w:val="48D22DB3"/>
    <w:rsid w:val="48D93445"/>
    <w:rsid w:val="48D9627C"/>
    <w:rsid w:val="48DA1D9C"/>
    <w:rsid w:val="48DC218D"/>
    <w:rsid w:val="48DF3D7D"/>
    <w:rsid w:val="48DF3DBB"/>
    <w:rsid w:val="48E4725A"/>
    <w:rsid w:val="48E915DE"/>
    <w:rsid w:val="48EB611E"/>
    <w:rsid w:val="48F7177C"/>
    <w:rsid w:val="48F9720D"/>
    <w:rsid w:val="490008E6"/>
    <w:rsid w:val="490425AB"/>
    <w:rsid w:val="49047124"/>
    <w:rsid w:val="49076238"/>
    <w:rsid w:val="49104838"/>
    <w:rsid w:val="49200C47"/>
    <w:rsid w:val="49250443"/>
    <w:rsid w:val="49267368"/>
    <w:rsid w:val="49276313"/>
    <w:rsid w:val="492F1B04"/>
    <w:rsid w:val="4930158D"/>
    <w:rsid w:val="493166F2"/>
    <w:rsid w:val="493E2578"/>
    <w:rsid w:val="4941564C"/>
    <w:rsid w:val="4943084D"/>
    <w:rsid w:val="495B2F5A"/>
    <w:rsid w:val="49660B64"/>
    <w:rsid w:val="496E056A"/>
    <w:rsid w:val="497930F9"/>
    <w:rsid w:val="497E5F0E"/>
    <w:rsid w:val="49863345"/>
    <w:rsid w:val="49895BF9"/>
    <w:rsid w:val="49896889"/>
    <w:rsid w:val="498B006E"/>
    <w:rsid w:val="499C126E"/>
    <w:rsid w:val="49A20032"/>
    <w:rsid w:val="49A82756"/>
    <w:rsid w:val="49A86BF4"/>
    <w:rsid w:val="49A902DE"/>
    <w:rsid w:val="49A961CD"/>
    <w:rsid w:val="49B337E8"/>
    <w:rsid w:val="49B57903"/>
    <w:rsid w:val="49BB0B72"/>
    <w:rsid w:val="49BD536F"/>
    <w:rsid w:val="49CD3C98"/>
    <w:rsid w:val="49E27CCF"/>
    <w:rsid w:val="49F44446"/>
    <w:rsid w:val="49F543E3"/>
    <w:rsid w:val="49FA00AE"/>
    <w:rsid w:val="4A037F7B"/>
    <w:rsid w:val="4A0C3345"/>
    <w:rsid w:val="4A12511A"/>
    <w:rsid w:val="4A1C6B3C"/>
    <w:rsid w:val="4A272B59"/>
    <w:rsid w:val="4A2A339F"/>
    <w:rsid w:val="4A2A4742"/>
    <w:rsid w:val="4A3849A0"/>
    <w:rsid w:val="4A3B0ADD"/>
    <w:rsid w:val="4A3D1213"/>
    <w:rsid w:val="4A405618"/>
    <w:rsid w:val="4A42752E"/>
    <w:rsid w:val="4A463FDD"/>
    <w:rsid w:val="4A4D2C8C"/>
    <w:rsid w:val="4A4D6FE1"/>
    <w:rsid w:val="4A4F464E"/>
    <w:rsid w:val="4A500FF5"/>
    <w:rsid w:val="4A51053D"/>
    <w:rsid w:val="4A541B9F"/>
    <w:rsid w:val="4A5B2412"/>
    <w:rsid w:val="4A603371"/>
    <w:rsid w:val="4A665A8F"/>
    <w:rsid w:val="4A6B6C00"/>
    <w:rsid w:val="4A7A1A7F"/>
    <w:rsid w:val="4A7B1C95"/>
    <w:rsid w:val="4A7C6D92"/>
    <w:rsid w:val="4A80680F"/>
    <w:rsid w:val="4A8B2BFF"/>
    <w:rsid w:val="4A8B46F9"/>
    <w:rsid w:val="4A8C3D45"/>
    <w:rsid w:val="4A996D58"/>
    <w:rsid w:val="4AA637CE"/>
    <w:rsid w:val="4AAA2363"/>
    <w:rsid w:val="4AAC0232"/>
    <w:rsid w:val="4AB420A2"/>
    <w:rsid w:val="4AB42562"/>
    <w:rsid w:val="4AB971E8"/>
    <w:rsid w:val="4ABC4127"/>
    <w:rsid w:val="4AC14B57"/>
    <w:rsid w:val="4AC462B3"/>
    <w:rsid w:val="4AC908CA"/>
    <w:rsid w:val="4AC95E08"/>
    <w:rsid w:val="4ACC60F1"/>
    <w:rsid w:val="4ACE3D63"/>
    <w:rsid w:val="4AD13FBF"/>
    <w:rsid w:val="4AD37FB6"/>
    <w:rsid w:val="4AED546D"/>
    <w:rsid w:val="4AF15169"/>
    <w:rsid w:val="4AF33411"/>
    <w:rsid w:val="4AFC4739"/>
    <w:rsid w:val="4AFF7966"/>
    <w:rsid w:val="4B08211A"/>
    <w:rsid w:val="4B0F4D9F"/>
    <w:rsid w:val="4B2B654D"/>
    <w:rsid w:val="4B2D2A9B"/>
    <w:rsid w:val="4B313BE7"/>
    <w:rsid w:val="4B331125"/>
    <w:rsid w:val="4B3405F9"/>
    <w:rsid w:val="4B3B6A66"/>
    <w:rsid w:val="4B425A4D"/>
    <w:rsid w:val="4B473804"/>
    <w:rsid w:val="4B5151AA"/>
    <w:rsid w:val="4B537CBF"/>
    <w:rsid w:val="4B550153"/>
    <w:rsid w:val="4B641191"/>
    <w:rsid w:val="4B694B3A"/>
    <w:rsid w:val="4B730932"/>
    <w:rsid w:val="4B76529F"/>
    <w:rsid w:val="4B797876"/>
    <w:rsid w:val="4B7A237E"/>
    <w:rsid w:val="4B815FB3"/>
    <w:rsid w:val="4B86443F"/>
    <w:rsid w:val="4B9A0C4D"/>
    <w:rsid w:val="4B9B3B70"/>
    <w:rsid w:val="4B9E7936"/>
    <w:rsid w:val="4BA62ACE"/>
    <w:rsid w:val="4BAC176A"/>
    <w:rsid w:val="4BAF7A14"/>
    <w:rsid w:val="4BB7667A"/>
    <w:rsid w:val="4BBA25CD"/>
    <w:rsid w:val="4BBB242F"/>
    <w:rsid w:val="4BBB66CC"/>
    <w:rsid w:val="4BC15B7C"/>
    <w:rsid w:val="4BC22308"/>
    <w:rsid w:val="4BCC5B3C"/>
    <w:rsid w:val="4BD06F1C"/>
    <w:rsid w:val="4BD119E3"/>
    <w:rsid w:val="4BD11B2A"/>
    <w:rsid w:val="4BD13574"/>
    <w:rsid w:val="4BD47BEF"/>
    <w:rsid w:val="4BDA74DE"/>
    <w:rsid w:val="4BE06BCD"/>
    <w:rsid w:val="4BE413D6"/>
    <w:rsid w:val="4BE86538"/>
    <w:rsid w:val="4C001FDF"/>
    <w:rsid w:val="4C040A9A"/>
    <w:rsid w:val="4C0770C1"/>
    <w:rsid w:val="4C1F0776"/>
    <w:rsid w:val="4C232063"/>
    <w:rsid w:val="4C2503E2"/>
    <w:rsid w:val="4C2C299D"/>
    <w:rsid w:val="4C322608"/>
    <w:rsid w:val="4C3238CA"/>
    <w:rsid w:val="4C343A7F"/>
    <w:rsid w:val="4C3449FC"/>
    <w:rsid w:val="4C380D78"/>
    <w:rsid w:val="4C3D0756"/>
    <w:rsid w:val="4C3D5FB7"/>
    <w:rsid w:val="4C4C1686"/>
    <w:rsid w:val="4C513E4B"/>
    <w:rsid w:val="4C603F1D"/>
    <w:rsid w:val="4C6211EA"/>
    <w:rsid w:val="4C635D18"/>
    <w:rsid w:val="4C670EB1"/>
    <w:rsid w:val="4C712086"/>
    <w:rsid w:val="4C7120EC"/>
    <w:rsid w:val="4C7B3D80"/>
    <w:rsid w:val="4C7C605E"/>
    <w:rsid w:val="4C7E2355"/>
    <w:rsid w:val="4C847264"/>
    <w:rsid w:val="4C970E7B"/>
    <w:rsid w:val="4CC1054F"/>
    <w:rsid w:val="4CCB1948"/>
    <w:rsid w:val="4CCE079D"/>
    <w:rsid w:val="4CCE3699"/>
    <w:rsid w:val="4CEA4F4D"/>
    <w:rsid w:val="4CEC58DB"/>
    <w:rsid w:val="4CEF637A"/>
    <w:rsid w:val="4CF00FB6"/>
    <w:rsid w:val="4CF16277"/>
    <w:rsid w:val="4CF4672D"/>
    <w:rsid w:val="4CFA2AAF"/>
    <w:rsid w:val="4D0325CF"/>
    <w:rsid w:val="4D035A68"/>
    <w:rsid w:val="4D0F26CE"/>
    <w:rsid w:val="4D147026"/>
    <w:rsid w:val="4D1478EC"/>
    <w:rsid w:val="4D165C91"/>
    <w:rsid w:val="4D225412"/>
    <w:rsid w:val="4D235945"/>
    <w:rsid w:val="4D255F0E"/>
    <w:rsid w:val="4D2F06BA"/>
    <w:rsid w:val="4D304130"/>
    <w:rsid w:val="4D386B0D"/>
    <w:rsid w:val="4D4330D3"/>
    <w:rsid w:val="4D4B7DCE"/>
    <w:rsid w:val="4D545407"/>
    <w:rsid w:val="4D694F30"/>
    <w:rsid w:val="4D6B703C"/>
    <w:rsid w:val="4D717BA1"/>
    <w:rsid w:val="4D7F56C3"/>
    <w:rsid w:val="4D855FB9"/>
    <w:rsid w:val="4D8A0B26"/>
    <w:rsid w:val="4D904FEE"/>
    <w:rsid w:val="4D910D8A"/>
    <w:rsid w:val="4D935425"/>
    <w:rsid w:val="4D953CDB"/>
    <w:rsid w:val="4D97309D"/>
    <w:rsid w:val="4D9B559E"/>
    <w:rsid w:val="4D9E090F"/>
    <w:rsid w:val="4DAC6E91"/>
    <w:rsid w:val="4DAE3711"/>
    <w:rsid w:val="4DB63BC4"/>
    <w:rsid w:val="4DB7591C"/>
    <w:rsid w:val="4DBB2984"/>
    <w:rsid w:val="4DCC46DA"/>
    <w:rsid w:val="4DDD5EB7"/>
    <w:rsid w:val="4DDE45A5"/>
    <w:rsid w:val="4DE265E9"/>
    <w:rsid w:val="4DE5023D"/>
    <w:rsid w:val="4DEB419D"/>
    <w:rsid w:val="4DF267CF"/>
    <w:rsid w:val="4DF6484E"/>
    <w:rsid w:val="4E043A0E"/>
    <w:rsid w:val="4E0B5D31"/>
    <w:rsid w:val="4E125681"/>
    <w:rsid w:val="4E1339D8"/>
    <w:rsid w:val="4E145C86"/>
    <w:rsid w:val="4E187CF8"/>
    <w:rsid w:val="4E1A5C2E"/>
    <w:rsid w:val="4E1D303B"/>
    <w:rsid w:val="4E2B3781"/>
    <w:rsid w:val="4E337E4B"/>
    <w:rsid w:val="4E365771"/>
    <w:rsid w:val="4E3C3064"/>
    <w:rsid w:val="4E3C5DC0"/>
    <w:rsid w:val="4E446F8B"/>
    <w:rsid w:val="4E4D4DE2"/>
    <w:rsid w:val="4E5669BF"/>
    <w:rsid w:val="4E651EA6"/>
    <w:rsid w:val="4E6757B0"/>
    <w:rsid w:val="4E6C4048"/>
    <w:rsid w:val="4E783D17"/>
    <w:rsid w:val="4E805C19"/>
    <w:rsid w:val="4E836C4E"/>
    <w:rsid w:val="4E865BCD"/>
    <w:rsid w:val="4E957162"/>
    <w:rsid w:val="4E9E60B6"/>
    <w:rsid w:val="4EA27ACB"/>
    <w:rsid w:val="4EA60E85"/>
    <w:rsid w:val="4EAE3E03"/>
    <w:rsid w:val="4EB379F2"/>
    <w:rsid w:val="4EB838E0"/>
    <w:rsid w:val="4EBC3167"/>
    <w:rsid w:val="4EBC6632"/>
    <w:rsid w:val="4EBD4562"/>
    <w:rsid w:val="4EBD5620"/>
    <w:rsid w:val="4EBE0F4C"/>
    <w:rsid w:val="4EC258F4"/>
    <w:rsid w:val="4ECD0F14"/>
    <w:rsid w:val="4ED017E4"/>
    <w:rsid w:val="4ED03B4F"/>
    <w:rsid w:val="4ED43AE8"/>
    <w:rsid w:val="4EDC1716"/>
    <w:rsid w:val="4EDF6F4B"/>
    <w:rsid w:val="4EE24F10"/>
    <w:rsid w:val="4EE77077"/>
    <w:rsid w:val="4EE8461F"/>
    <w:rsid w:val="4F0206C2"/>
    <w:rsid w:val="4F06414B"/>
    <w:rsid w:val="4F1A4FD6"/>
    <w:rsid w:val="4F1C2B4C"/>
    <w:rsid w:val="4F1E1A5A"/>
    <w:rsid w:val="4F2D5479"/>
    <w:rsid w:val="4F2E4FDB"/>
    <w:rsid w:val="4F3127D8"/>
    <w:rsid w:val="4F353521"/>
    <w:rsid w:val="4F3B798B"/>
    <w:rsid w:val="4F424396"/>
    <w:rsid w:val="4F461737"/>
    <w:rsid w:val="4F501AA5"/>
    <w:rsid w:val="4F507138"/>
    <w:rsid w:val="4F5431F2"/>
    <w:rsid w:val="4F594949"/>
    <w:rsid w:val="4F5A315B"/>
    <w:rsid w:val="4F664358"/>
    <w:rsid w:val="4F7041A7"/>
    <w:rsid w:val="4F7349ED"/>
    <w:rsid w:val="4F7C7D62"/>
    <w:rsid w:val="4F8366CD"/>
    <w:rsid w:val="4F88390E"/>
    <w:rsid w:val="4F8865D2"/>
    <w:rsid w:val="4F9102E3"/>
    <w:rsid w:val="4F9A400D"/>
    <w:rsid w:val="4FA11827"/>
    <w:rsid w:val="4FA57761"/>
    <w:rsid w:val="4FA82F77"/>
    <w:rsid w:val="4FAB07C1"/>
    <w:rsid w:val="4FC12B67"/>
    <w:rsid w:val="4FC87D84"/>
    <w:rsid w:val="4FD33643"/>
    <w:rsid w:val="4FD409F7"/>
    <w:rsid w:val="4FD41054"/>
    <w:rsid w:val="4FD66F8D"/>
    <w:rsid w:val="4FDB5605"/>
    <w:rsid w:val="4FDF7D08"/>
    <w:rsid w:val="4FE45662"/>
    <w:rsid w:val="4FE66728"/>
    <w:rsid w:val="4FE74DC2"/>
    <w:rsid w:val="4FF81090"/>
    <w:rsid w:val="4FFA1BE3"/>
    <w:rsid w:val="4FFF560B"/>
    <w:rsid w:val="50033BDE"/>
    <w:rsid w:val="50036BC4"/>
    <w:rsid w:val="500B0DCA"/>
    <w:rsid w:val="500C2A95"/>
    <w:rsid w:val="50133F8A"/>
    <w:rsid w:val="50140C07"/>
    <w:rsid w:val="50176E6F"/>
    <w:rsid w:val="50200664"/>
    <w:rsid w:val="502151EE"/>
    <w:rsid w:val="5022333C"/>
    <w:rsid w:val="50312196"/>
    <w:rsid w:val="50417E32"/>
    <w:rsid w:val="5042052F"/>
    <w:rsid w:val="504768E3"/>
    <w:rsid w:val="504F0FB9"/>
    <w:rsid w:val="504F769B"/>
    <w:rsid w:val="50537FDD"/>
    <w:rsid w:val="50622728"/>
    <w:rsid w:val="507554C6"/>
    <w:rsid w:val="507D0063"/>
    <w:rsid w:val="50871317"/>
    <w:rsid w:val="508F1D63"/>
    <w:rsid w:val="508F6AC4"/>
    <w:rsid w:val="509631CF"/>
    <w:rsid w:val="509A55F2"/>
    <w:rsid w:val="509B6BFA"/>
    <w:rsid w:val="50A36924"/>
    <w:rsid w:val="50A732FC"/>
    <w:rsid w:val="50AA341E"/>
    <w:rsid w:val="50AB4E2F"/>
    <w:rsid w:val="50AC2418"/>
    <w:rsid w:val="50B421A0"/>
    <w:rsid w:val="50B70FED"/>
    <w:rsid w:val="50BA643F"/>
    <w:rsid w:val="50BC2897"/>
    <w:rsid w:val="50D2215B"/>
    <w:rsid w:val="50DA2205"/>
    <w:rsid w:val="50E57F59"/>
    <w:rsid w:val="50EA61D3"/>
    <w:rsid w:val="50FC41E2"/>
    <w:rsid w:val="510319B4"/>
    <w:rsid w:val="510A4E7D"/>
    <w:rsid w:val="51187091"/>
    <w:rsid w:val="511E5EB5"/>
    <w:rsid w:val="51205217"/>
    <w:rsid w:val="51217565"/>
    <w:rsid w:val="512D5787"/>
    <w:rsid w:val="51371434"/>
    <w:rsid w:val="51382F84"/>
    <w:rsid w:val="513B4CBD"/>
    <w:rsid w:val="513F2A79"/>
    <w:rsid w:val="514E5DF0"/>
    <w:rsid w:val="51505C49"/>
    <w:rsid w:val="515F5290"/>
    <w:rsid w:val="515F5E7D"/>
    <w:rsid w:val="51621B03"/>
    <w:rsid w:val="51677ABF"/>
    <w:rsid w:val="51736010"/>
    <w:rsid w:val="517F4109"/>
    <w:rsid w:val="518140E8"/>
    <w:rsid w:val="518961AE"/>
    <w:rsid w:val="518B0D8B"/>
    <w:rsid w:val="51905BB3"/>
    <w:rsid w:val="519D2A82"/>
    <w:rsid w:val="519E4C2D"/>
    <w:rsid w:val="51A15787"/>
    <w:rsid w:val="51A23180"/>
    <w:rsid w:val="51A44533"/>
    <w:rsid w:val="51B12C2B"/>
    <w:rsid w:val="51B625E5"/>
    <w:rsid w:val="51BB3190"/>
    <w:rsid w:val="51C31AB3"/>
    <w:rsid w:val="51C50057"/>
    <w:rsid w:val="51CA6470"/>
    <w:rsid w:val="51CC0195"/>
    <w:rsid w:val="51CF3752"/>
    <w:rsid w:val="51D221A2"/>
    <w:rsid w:val="51DB590D"/>
    <w:rsid w:val="51DC7D4F"/>
    <w:rsid w:val="51E372D3"/>
    <w:rsid w:val="51E952C3"/>
    <w:rsid w:val="51F763C2"/>
    <w:rsid w:val="52082F0E"/>
    <w:rsid w:val="520A4FD4"/>
    <w:rsid w:val="520A6A40"/>
    <w:rsid w:val="520B29B2"/>
    <w:rsid w:val="52165ED6"/>
    <w:rsid w:val="52170D68"/>
    <w:rsid w:val="521832FA"/>
    <w:rsid w:val="521B5CF1"/>
    <w:rsid w:val="521E330E"/>
    <w:rsid w:val="52210969"/>
    <w:rsid w:val="52250331"/>
    <w:rsid w:val="52251937"/>
    <w:rsid w:val="52291DE3"/>
    <w:rsid w:val="522D32DC"/>
    <w:rsid w:val="522E032A"/>
    <w:rsid w:val="522E48FA"/>
    <w:rsid w:val="52436B21"/>
    <w:rsid w:val="52476CBE"/>
    <w:rsid w:val="52541687"/>
    <w:rsid w:val="525808AD"/>
    <w:rsid w:val="52606B21"/>
    <w:rsid w:val="526142ED"/>
    <w:rsid w:val="52675267"/>
    <w:rsid w:val="526A42D2"/>
    <w:rsid w:val="527456A0"/>
    <w:rsid w:val="52775B19"/>
    <w:rsid w:val="527820D3"/>
    <w:rsid w:val="527925C0"/>
    <w:rsid w:val="5286536B"/>
    <w:rsid w:val="528D1636"/>
    <w:rsid w:val="528F6528"/>
    <w:rsid w:val="5294173C"/>
    <w:rsid w:val="52A573D4"/>
    <w:rsid w:val="52AE3C1C"/>
    <w:rsid w:val="52B15A0B"/>
    <w:rsid w:val="52B277B6"/>
    <w:rsid w:val="52B539F6"/>
    <w:rsid w:val="52B87EDF"/>
    <w:rsid w:val="52C2744F"/>
    <w:rsid w:val="52CF2A7E"/>
    <w:rsid w:val="52D52D8A"/>
    <w:rsid w:val="52D70C29"/>
    <w:rsid w:val="52E07E6E"/>
    <w:rsid w:val="52E2403D"/>
    <w:rsid w:val="52E87FC9"/>
    <w:rsid w:val="52EA3010"/>
    <w:rsid w:val="52EE6354"/>
    <w:rsid w:val="52EF275D"/>
    <w:rsid w:val="52F87188"/>
    <w:rsid w:val="53035F10"/>
    <w:rsid w:val="530445BC"/>
    <w:rsid w:val="53073E74"/>
    <w:rsid w:val="53130812"/>
    <w:rsid w:val="53176C42"/>
    <w:rsid w:val="53184746"/>
    <w:rsid w:val="531972CB"/>
    <w:rsid w:val="53227F73"/>
    <w:rsid w:val="532342A1"/>
    <w:rsid w:val="532E4AC7"/>
    <w:rsid w:val="533E55DF"/>
    <w:rsid w:val="5360600D"/>
    <w:rsid w:val="53703765"/>
    <w:rsid w:val="5376095E"/>
    <w:rsid w:val="537A04E8"/>
    <w:rsid w:val="537D7719"/>
    <w:rsid w:val="53874180"/>
    <w:rsid w:val="53910730"/>
    <w:rsid w:val="53991F46"/>
    <w:rsid w:val="53A430C7"/>
    <w:rsid w:val="53B71A0D"/>
    <w:rsid w:val="53BA49C0"/>
    <w:rsid w:val="53BF11FF"/>
    <w:rsid w:val="53C2398F"/>
    <w:rsid w:val="53C92C10"/>
    <w:rsid w:val="53CF606A"/>
    <w:rsid w:val="53D111B0"/>
    <w:rsid w:val="53D73576"/>
    <w:rsid w:val="53E22364"/>
    <w:rsid w:val="53E35749"/>
    <w:rsid w:val="53EB4289"/>
    <w:rsid w:val="53EE07E8"/>
    <w:rsid w:val="53F67F24"/>
    <w:rsid w:val="53FE5A9E"/>
    <w:rsid w:val="540B221A"/>
    <w:rsid w:val="54193A5D"/>
    <w:rsid w:val="541C5A78"/>
    <w:rsid w:val="54257FE2"/>
    <w:rsid w:val="5428581F"/>
    <w:rsid w:val="542B47E5"/>
    <w:rsid w:val="54312A0A"/>
    <w:rsid w:val="54451C08"/>
    <w:rsid w:val="5450152B"/>
    <w:rsid w:val="545412A1"/>
    <w:rsid w:val="54591BCD"/>
    <w:rsid w:val="545A1A3D"/>
    <w:rsid w:val="546936FE"/>
    <w:rsid w:val="546A602B"/>
    <w:rsid w:val="547034CA"/>
    <w:rsid w:val="54724933"/>
    <w:rsid w:val="547801F9"/>
    <w:rsid w:val="54877824"/>
    <w:rsid w:val="54967702"/>
    <w:rsid w:val="549B60CA"/>
    <w:rsid w:val="54A746D1"/>
    <w:rsid w:val="54B14984"/>
    <w:rsid w:val="54B34E33"/>
    <w:rsid w:val="54BC09E2"/>
    <w:rsid w:val="54C257FC"/>
    <w:rsid w:val="54C51C65"/>
    <w:rsid w:val="54C649FB"/>
    <w:rsid w:val="54C766D3"/>
    <w:rsid w:val="54DB3842"/>
    <w:rsid w:val="54DB74B3"/>
    <w:rsid w:val="54E32310"/>
    <w:rsid w:val="54E35B83"/>
    <w:rsid w:val="54E5570D"/>
    <w:rsid w:val="54E656A9"/>
    <w:rsid w:val="54E85406"/>
    <w:rsid w:val="54EE0227"/>
    <w:rsid w:val="54EE4DEC"/>
    <w:rsid w:val="54F1490A"/>
    <w:rsid w:val="54F93AE7"/>
    <w:rsid w:val="54F97DEB"/>
    <w:rsid w:val="55012EF3"/>
    <w:rsid w:val="55022588"/>
    <w:rsid w:val="550D4E7F"/>
    <w:rsid w:val="551B3ADB"/>
    <w:rsid w:val="551F7D03"/>
    <w:rsid w:val="55252910"/>
    <w:rsid w:val="552677BE"/>
    <w:rsid w:val="552E2F45"/>
    <w:rsid w:val="55313992"/>
    <w:rsid w:val="553772EA"/>
    <w:rsid w:val="553A6D2E"/>
    <w:rsid w:val="5546635B"/>
    <w:rsid w:val="55507B46"/>
    <w:rsid w:val="55534568"/>
    <w:rsid w:val="555A0EDC"/>
    <w:rsid w:val="55677E49"/>
    <w:rsid w:val="55692EAC"/>
    <w:rsid w:val="55714147"/>
    <w:rsid w:val="557C295E"/>
    <w:rsid w:val="557C5B0B"/>
    <w:rsid w:val="55806AF4"/>
    <w:rsid w:val="55812735"/>
    <w:rsid w:val="55861EC8"/>
    <w:rsid w:val="5588140B"/>
    <w:rsid w:val="55891D85"/>
    <w:rsid w:val="5592013C"/>
    <w:rsid w:val="55A445F2"/>
    <w:rsid w:val="55A57957"/>
    <w:rsid w:val="55AA469C"/>
    <w:rsid w:val="55BC12E8"/>
    <w:rsid w:val="55BD3120"/>
    <w:rsid w:val="55BF56EA"/>
    <w:rsid w:val="55C103AC"/>
    <w:rsid w:val="55C423B5"/>
    <w:rsid w:val="55C6074D"/>
    <w:rsid w:val="55C86079"/>
    <w:rsid w:val="55CC5297"/>
    <w:rsid w:val="55D31938"/>
    <w:rsid w:val="55DA77E0"/>
    <w:rsid w:val="55EE6E58"/>
    <w:rsid w:val="55F2238E"/>
    <w:rsid w:val="55F24132"/>
    <w:rsid w:val="55FB05FF"/>
    <w:rsid w:val="55FC794D"/>
    <w:rsid w:val="56012A7B"/>
    <w:rsid w:val="56172C84"/>
    <w:rsid w:val="56206259"/>
    <w:rsid w:val="562219AC"/>
    <w:rsid w:val="56230DC5"/>
    <w:rsid w:val="562B59B0"/>
    <w:rsid w:val="56387876"/>
    <w:rsid w:val="56391384"/>
    <w:rsid w:val="563F06E3"/>
    <w:rsid w:val="564C27AB"/>
    <w:rsid w:val="565222DD"/>
    <w:rsid w:val="565907FF"/>
    <w:rsid w:val="565D6940"/>
    <w:rsid w:val="566101A8"/>
    <w:rsid w:val="56666AC5"/>
    <w:rsid w:val="56701442"/>
    <w:rsid w:val="56793306"/>
    <w:rsid w:val="56797C74"/>
    <w:rsid w:val="568116C5"/>
    <w:rsid w:val="568F0B4D"/>
    <w:rsid w:val="5691640E"/>
    <w:rsid w:val="56927F4A"/>
    <w:rsid w:val="569C03A7"/>
    <w:rsid w:val="569E53D6"/>
    <w:rsid w:val="56A304C3"/>
    <w:rsid w:val="56AD16B1"/>
    <w:rsid w:val="56B44FF7"/>
    <w:rsid w:val="56B76AF7"/>
    <w:rsid w:val="56BA0EDB"/>
    <w:rsid w:val="56BA5BFC"/>
    <w:rsid w:val="56D60D34"/>
    <w:rsid w:val="56DA1A1C"/>
    <w:rsid w:val="56E90EF6"/>
    <w:rsid w:val="56F50794"/>
    <w:rsid w:val="56F82259"/>
    <w:rsid w:val="56FC12BF"/>
    <w:rsid w:val="56FE5AE3"/>
    <w:rsid w:val="570255BE"/>
    <w:rsid w:val="570426CC"/>
    <w:rsid w:val="57100D05"/>
    <w:rsid w:val="57103E85"/>
    <w:rsid w:val="57167A78"/>
    <w:rsid w:val="571E4103"/>
    <w:rsid w:val="5724356E"/>
    <w:rsid w:val="573B396A"/>
    <w:rsid w:val="576019A8"/>
    <w:rsid w:val="576E1A2E"/>
    <w:rsid w:val="576F00D0"/>
    <w:rsid w:val="57780B15"/>
    <w:rsid w:val="577C7921"/>
    <w:rsid w:val="577D6052"/>
    <w:rsid w:val="578130EB"/>
    <w:rsid w:val="5781472D"/>
    <w:rsid w:val="57842581"/>
    <w:rsid w:val="57860B1C"/>
    <w:rsid w:val="578F1CC6"/>
    <w:rsid w:val="579016BB"/>
    <w:rsid w:val="579131AA"/>
    <w:rsid w:val="57961B8E"/>
    <w:rsid w:val="579A34FF"/>
    <w:rsid w:val="57A05D52"/>
    <w:rsid w:val="57A65B21"/>
    <w:rsid w:val="57A93B1C"/>
    <w:rsid w:val="57AC71EF"/>
    <w:rsid w:val="57B30CCB"/>
    <w:rsid w:val="57B82FE8"/>
    <w:rsid w:val="57BA183B"/>
    <w:rsid w:val="57BC21E8"/>
    <w:rsid w:val="57C563BF"/>
    <w:rsid w:val="57C64CE3"/>
    <w:rsid w:val="57CF1AC2"/>
    <w:rsid w:val="57CF411E"/>
    <w:rsid w:val="57CF6469"/>
    <w:rsid w:val="57D20F94"/>
    <w:rsid w:val="57E359C9"/>
    <w:rsid w:val="57E8494C"/>
    <w:rsid w:val="57F75230"/>
    <w:rsid w:val="57FA5E75"/>
    <w:rsid w:val="58000E35"/>
    <w:rsid w:val="58222E9F"/>
    <w:rsid w:val="58251D17"/>
    <w:rsid w:val="582D3231"/>
    <w:rsid w:val="58316A55"/>
    <w:rsid w:val="583F3207"/>
    <w:rsid w:val="58452DB9"/>
    <w:rsid w:val="5846017C"/>
    <w:rsid w:val="58484E27"/>
    <w:rsid w:val="58514B7B"/>
    <w:rsid w:val="58525C17"/>
    <w:rsid w:val="58592455"/>
    <w:rsid w:val="586815ED"/>
    <w:rsid w:val="586B3009"/>
    <w:rsid w:val="58775EED"/>
    <w:rsid w:val="58790B5B"/>
    <w:rsid w:val="588D7FDD"/>
    <w:rsid w:val="58924ECC"/>
    <w:rsid w:val="589511CE"/>
    <w:rsid w:val="5895256C"/>
    <w:rsid w:val="58965AA7"/>
    <w:rsid w:val="5899451C"/>
    <w:rsid w:val="589C6409"/>
    <w:rsid w:val="589D4D39"/>
    <w:rsid w:val="58A34E0C"/>
    <w:rsid w:val="58AE31F5"/>
    <w:rsid w:val="58B354B8"/>
    <w:rsid w:val="58B60FB7"/>
    <w:rsid w:val="58BB01CF"/>
    <w:rsid w:val="58BD1D42"/>
    <w:rsid w:val="58C04526"/>
    <w:rsid w:val="58C15643"/>
    <w:rsid w:val="58C925C7"/>
    <w:rsid w:val="58D215DA"/>
    <w:rsid w:val="58DE296B"/>
    <w:rsid w:val="58E05B85"/>
    <w:rsid w:val="58F141D6"/>
    <w:rsid w:val="58F9654F"/>
    <w:rsid w:val="58F979E8"/>
    <w:rsid w:val="58FB6C25"/>
    <w:rsid w:val="58FE08ED"/>
    <w:rsid w:val="59061DAE"/>
    <w:rsid w:val="590E4EED"/>
    <w:rsid w:val="5914669F"/>
    <w:rsid w:val="591557DB"/>
    <w:rsid w:val="591A5C30"/>
    <w:rsid w:val="591C4B79"/>
    <w:rsid w:val="591F2957"/>
    <w:rsid w:val="59262A74"/>
    <w:rsid w:val="592F1CE2"/>
    <w:rsid w:val="59371CA9"/>
    <w:rsid w:val="593C5853"/>
    <w:rsid w:val="593E005D"/>
    <w:rsid w:val="5940158A"/>
    <w:rsid w:val="59454372"/>
    <w:rsid w:val="594606CC"/>
    <w:rsid w:val="594B6D49"/>
    <w:rsid w:val="59697600"/>
    <w:rsid w:val="596C25D4"/>
    <w:rsid w:val="597028E6"/>
    <w:rsid w:val="597D38D7"/>
    <w:rsid w:val="598A75D0"/>
    <w:rsid w:val="59935094"/>
    <w:rsid w:val="5995496F"/>
    <w:rsid w:val="59A62A34"/>
    <w:rsid w:val="59AB1748"/>
    <w:rsid w:val="59B159CB"/>
    <w:rsid w:val="59B51848"/>
    <w:rsid w:val="59B80057"/>
    <w:rsid w:val="59BC67AC"/>
    <w:rsid w:val="59C03938"/>
    <w:rsid w:val="59C811F1"/>
    <w:rsid w:val="59C83D69"/>
    <w:rsid w:val="59CB01B4"/>
    <w:rsid w:val="59CC0DAD"/>
    <w:rsid w:val="59CF1C3E"/>
    <w:rsid w:val="59D87B36"/>
    <w:rsid w:val="59E57113"/>
    <w:rsid w:val="59E91981"/>
    <w:rsid w:val="59F22823"/>
    <w:rsid w:val="59F35BF5"/>
    <w:rsid w:val="59F42704"/>
    <w:rsid w:val="59FD1C88"/>
    <w:rsid w:val="5A0020BE"/>
    <w:rsid w:val="5A02215A"/>
    <w:rsid w:val="5A0823EC"/>
    <w:rsid w:val="5A0B4999"/>
    <w:rsid w:val="5A1219E8"/>
    <w:rsid w:val="5A1601E1"/>
    <w:rsid w:val="5A1A2003"/>
    <w:rsid w:val="5A2023BC"/>
    <w:rsid w:val="5A2534E2"/>
    <w:rsid w:val="5A272110"/>
    <w:rsid w:val="5A2F52ED"/>
    <w:rsid w:val="5A307C26"/>
    <w:rsid w:val="5A341010"/>
    <w:rsid w:val="5A3A1517"/>
    <w:rsid w:val="5A4D351E"/>
    <w:rsid w:val="5A507300"/>
    <w:rsid w:val="5A51154D"/>
    <w:rsid w:val="5A523957"/>
    <w:rsid w:val="5A532CC8"/>
    <w:rsid w:val="5A612789"/>
    <w:rsid w:val="5A6543C4"/>
    <w:rsid w:val="5A6A5675"/>
    <w:rsid w:val="5A6E205B"/>
    <w:rsid w:val="5A7B2C70"/>
    <w:rsid w:val="5A7C2218"/>
    <w:rsid w:val="5A7C5822"/>
    <w:rsid w:val="5A847FE5"/>
    <w:rsid w:val="5A916654"/>
    <w:rsid w:val="5A9B3B8F"/>
    <w:rsid w:val="5A9D6553"/>
    <w:rsid w:val="5A9E6004"/>
    <w:rsid w:val="5AAB402B"/>
    <w:rsid w:val="5AAF46FD"/>
    <w:rsid w:val="5AB36954"/>
    <w:rsid w:val="5ABB0D66"/>
    <w:rsid w:val="5ABE401A"/>
    <w:rsid w:val="5AC526EE"/>
    <w:rsid w:val="5ACB4B14"/>
    <w:rsid w:val="5AD45224"/>
    <w:rsid w:val="5ADA5032"/>
    <w:rsid w:val="5ADC6365"/>
    <w:rsid w:val="5AED2A7F"/>
    <w:rsid w:val="5B0A16D4"/>
    <w:rsid w:val="5B0B0FE2"/>
    <w:rsid w:val="5B1029A0"/>
    <w:rsid w:val="5B18258F"/>
    <w:rsid w:val="5B28216A"/>
    <w:rsid w:val="5B2B1ACA"/>
    <w:rsid w:val="5B302C2D"/>
    <w:rsid w:val="5B33397C"/>
    <w:rsid w:val="5B35552C"/>
    <w:rsid w:val="5B356E68"/>
    <w:rsid w:val="5B3A4E8A"/>
    <w:rsid w:val="5B43203B"/>
    <w:rsid w:val="5B485D9E"/>
    <w:rsid w:val="5B4E4DA1"/>
    <w:rsid w:val="5B5335BE"/>
    <w:rsid w:val="5B613886"/>
    <w:rsid w:val="5B6A6045"/>
    <w:rsid w:val="5B6C39BD"/>
    <w:rsid w:val="5B7B1E82"/>
    <w:rsid w:val="5B862B77"/>
    <w:rsid w:val="5B944D80"/>
    <w:rsid w:val="5B9509FD"/>
    <w:rsid w:val="5B957A5E"/>
    <w:rsid w:val="5BAB4BEE"/>
    <w:rsid w:val="5BB210AD"/>
    <w:rsid w:val="5BB47B97"/>
    <w:rsid w:val="5BB81EEF"/>
    <w:rsid w:val="5BC23198"/>
    <w:rsid w:val="5BC3049A"/>
    <w:rsid w:val="5BC52C1C"/>
    <w:rsid w:val="5BCE2157"/>
    <w:rsid w:val="5BD14762"/>
    <w:rsid w:val="5BD2376F"/>
    <w:rsid w:val="5BEA66B7"/>
    <w:rsid w:val="5BEB4DCC"/>
    <w:rsid w:val="5BF81226"/>
    <w:rsid w:val="5BFB7485"/>
    <w:rsid w:val="5C0042AF"/>
    <w:rsid w:val="5C021D5C"/>
    <w:rsid w:val="5C097E8B"/>
    <w:rsid w:val="5C0E1887"/>
    <w:rsid w:val="5C0E448E"/>
    <w:rsid w:val="5C116FBD"/>
    <w:rsid w:val="5C18254C"/>
    <w:rsid w:val="5C1B2C25"/>
    <w:rsid w:val="5C1E0099"/>
    <w:rsid w:val="5C24204D"/>
    <w:rsid w:val="5C261AD7"/>
    <w:rsid w:val="5C2A4D2E"/>
    <w:rsid w:val="5C2E032C"/>
    <w:rsid w:val="5C317C76"/>
    <w:rsid w:val="5C35045C"/>
    <w:rsid w:val="5C3B0435"/>
    <w:rsid w:val="5C3C5668"/>
    <w:rsid w:val="5C3C56AD"/>
    <w:rsid w:val="5C3D32DD"/>
    <w:rsid w:val="5C3E4B55"/>
    <w:rsid w:val="5C404666"/>
    <w:rsid w:val="5C422461"/>
    <w:rsid w:val="5C48686D"/>
    <w:rsid w:val="5C4F52A1"/>
    <w:rsid w:val="5C4F75E7"/>
    <w:rsid w:val="5C50319B"/>
    <w:rsid w:val="5C511614"/>
    <w:rsid w:val="5C520197"/>
    <w:rsid w:val="5C5371DE"/>
    <w:rsid w:val="5C5F094C"/>
    <w:rsid w:val="5C603564"/>
    <w:rsid w:val="5C633837"/>
    <w:rsid w:val="5C6B674F"/>
    <w:rsid w:val="5C6F57DC"/>
    <w:rsid w:val="5C7E0DF8"/>
    <w:rsid w:val="5C7E39D8"/>
    <w:rsid w:val="5C8A31FF"/>
    <w:rsid w:val="5C9C7108"/>
    <w:rsid w:val="5C9F55AA"/>
    <w:rsid w:val="5CA474D4"/>
    <w:rsid w:val="5CA84AC1"/>
    <w:rsid w:val="5CAC4293"/>
    <w:rsid w:val="5CB64B19"/>
    <w:rsid w:val="5CBD7A62"/>
    <w:rsid w:val="5CBF1A37"/>
    <w:rsid w:val="5CC164AE"/>
    <w:rsid w:val="5CC22998"/>
    <w:rsid w:val="5CC5766D"/>
    <w:rsid w:val="5CC829D4"/>
    <w:rsid w:val="5CD22245"/>
    <w:rsid w:val="5CD612EC"/>
    <w:rsid w:val="5CD620EF"/>
    <w:rsid w:val="5CD63CB1"/>
    <w:rsid w:val="5CD75EB0"/>
    <w:rsid w:val="5CE00BB1"/>
    <w:rsid w:val="5CE37D5E"/>
    <w:rsid w:val="5CE76E4E"/>
    <w:rsid w:val="5CE97CE3"/>
    <w:rsid w:val="5CF06B97"/>
    <w:rsid w:val="5CF85D55"/>
    <w:rsid w:val="5CFA67A0"/>
    <w:rsid w:val="5CFF2C7D"/>
    <w:rsid w:val="5CFF66F4"/>
    <w:rsid w:val="5D042519"/>
    <w:rsid w:val="5D073D33"/>
    <w:rsid w:val="5D0E09BF"/>
    <w:rsid w:val="5D10070C"/>
    <w:rsid w:val="5D1077A1"/>
    <w:rsid w:val="5D193562"/>
    <w:rsid w:val="5D232DD8"/>
    <w:rsid w:val="5D2360DD"/>
    <w:rsid w:val="5D360039"/>
    <w:rsid w:val="5D3A22F4"/>
    <w:rsid w:val="5D3D681F"/>
    <w:rsid w:val="5D421B63"/>
    <w:rsid w:val="5D435C8A"/>
    <w:rsid w:val="5D467576"/>
    <w:rsid w:val="5D4B2525"/>
    <w:rsid w:val="5D543240"/>
    <w:rsid w:val="5D5434CB"/>
    <w:rsid w:val="5D5A25C6"/>
    <w:rsid w:val="5D645AF7"/>
    <w:rsid w:val="5D697151"/>
    <w:rsid w:val="5D7070A0"/>
    <w:rsid w:val="5D79361A"/>
    <w:rsid w:val="5D7B2BAE"/>
    <w:rsid w:val="5D87359C"/>
    <w:rsid w:val="5D893541"/>
    <w:rsid w:val="5D8C28B4"/>
    <w:rsid w:val="5D8E7C73"/>
    <w:rsid w:val="5D974515"/>
    <w:rsid w:val="5D9832F3"/>
    <w:rsid w:val="5D9934EC"/>
    <w:rsid w:val="5D9C1E54"/>
    <w:rsid w:val="5DAB1E9E"/>
    <w:rsid w:val="5DB53FF3"/>
    <w:rsid w:val="5DB81F70"/>
    <w:rsid w:val="5DBC3F54"/>
    <w:rsid w:val="5DC328CA"/>
    <w:rsid w:val="5DCA57DD"/>
    <w:rsid w:val="5DD74A14"/>
    <w:rsid w:val="5DDB163B"/>
    <w:rsid w:val="5DDC2477"/>
    <w:rsid w:val="5DDC2877"/>
    <w:rsid w:val="5DF03AB4"/>
    <w:rsid w:val="5DF11D42"/>
    <w:rsid w:val="5DFA2E17"/>
    <w:rsid w:val="5DFB0C01"/>
    <w:rsid w:val="5E006537"/>
    <w:rsid w:val="5E1D2155"/>
    <w:rsid w:val="5E2374D1"/>
    <w:rsid w:val="5E401AFE"/>
    <w:rsid w:val="5E454E01"/>
    <w:rsid w:val="5E490493"/>
    <w:rsid w:val="5E4C4204"/>
    <w:rsid w:val="5E4D4054"/>
    <w:rsid w:val="5E4F4CEC"/>
    <w:rsid w:val="5E517BBA"/>
    <w:rsid w:val="5E521705"/>
    <w:rsid w:val="5E650FB2"/>
    <w:rsid w:val="5E656142"/>
    <w:rsid w:val="5E680B19"/>
    <w:rsid w:val="5E6C53A1"/>
    <w:rsid w:val="5E7334F8"/>
    <w:rsid w:val="5E7805FF"/>
    <w:rsid w:val="5E7859D6"/>
    <w:rsid w:val="5E842B6A"/>
    <w:rsid w:val="5E875A07"/>
    <w:rsid w:val="5E8C1E30"/>
    <w:rsid w:val="5E911FAC"/>
    <w:rsid w:val="5E92137B"/>
    <w:rsid w:val="5E9373FC"/>
    <w:rsid w:val="5EA67DEF"/>
    <w:rsid w:val="5EA736D1"/>
    <w:rsid w:val="5EAA11B3"/>
    <w:rsid w:val="5EB30716"/>
    <w:rsid w:val="5EB70697"/>
    <w:rsid w:val="5EB95510"/>
    <w:rsid w:val="5EB956EE"/>
    <w:rsid w:val="5EC57A3D"/>
    <w:rsid w:val="5ECB275F"/>
    <w:rsid w:val="5ECE2836"/>
    <w:rsid w:val="5EDB5813"/>
    <w:rsid w:val="5EDE3A55"/>
    <w:rsid w:val="5EE2308E"/>
    <w:rsid w:val="5EE35C8C"/>
    <w:rsid w:val="5EEC409E"/>
    <w:rsid w:val="5EF2448C"/>
    <w:rsid w:val="5EF442F3"/>
    <w:rsid w:val="5F051F15"/>
    <w:rsid w:val="5F222082"/>
    <w:rsid w:val="5F37319D"/>
    <w:rsid w:val="5F3A21FA"/>
    <w:rsid w:val="5F490636"/>
    <w:rsid w:val="5F4A6244"/>
    <w:rsid w:val="5F555F58"/>
    <w:rsid w:val="5F6219E5"/>
    <w:rsid w:val="5F7C4F33"/>
    <w:rsid w:val="5F7D5743"/>
    <w:rsid w:val="5F810563"/>
    <w:rsid w:val="5F824D0A"/>
    <w:rsid w:val="5F902061"/>
    <w:rsid w:val="5F91364B"/>
    <w:rsid w:val="5F942C15"/>
    <w:rsid w:val="5F982E68"/>
    <w:rsid w:val="5F983E67"/>
    <w:rsid w:val="5F9F2897"/>
    <w:rsid w:val="5FA57B43"/>
    <w:rsid w:val="5FB560BB"/>
    <w:rsid w:val="5FB62CD8"/>
    <w:rsid w:val="5FC20790"/>
    <w:rsid w:val="5FC87F8E"/>
    <w:rsid w:val="5FC91DE9"/>
    <w:rsid w:val="5FCE57F6"/>
    <w:rsid w:val="5FD820A7"/>
    <w:rsid w:val="5FDF0C33"/>
    <w:rsid w:val="5FE25D83"/>
    <w:rsid w:val="5FE5232B"/>
    <w:rsid w:val="5FEC3C05"/>
    <w:rsid w:val="5FF020A1"/>
    <w:rsid w:val="5FFC5DE4"/>
    <w:rsid w:val="600F241C"/>
    <w:rsid w:val="60112156"/>
    <w:rsid w:val="60127ACF"/>
    <w:rsid w:val="60195F65"/>
    <w:rsid w:val="601A6881"/>
    <w:rsid w:val="60200E33"/>
    <w:rsid w:val="6023016C"/>
    <w:rsid w:val="602924AC"/>
    <w:rsid w:val="602B5AAA"/>
    <w:rsid w:val="60334B2A"/>
    <w:rsid w:val="603E7B8A"/>
    <w:rsid w:val="60415FF4"/>
    <w:rsid w:val="60420933"/>
    <w:rsid w:val="6056292C"/>
    <w:rsid w:val="6063156C"/>
    <w:rsid w:val="606502AC"/>
    <w:rsid w:val="60660D11"/>
    <w:rsid w:val="606611B7"/>
    <w:rsid w:val="60687B01"/>
    <w:rsid w:val="606D5453"/>
    <w:rsid w:val="607044B9"/>
    <w:rsid w:val="60760530"/>
    <w:rsid w:val="6078579C"/>
    <w:rsid w:val="608159C3"/>
    <w:rsid w:val="60841E8A"/>
    <w:rsid w:val="60904724"/>
    <w:rsid w:val="60924935"/>
    <w:rsid w:val="60934023"/>
    <w:rsid w:val="60947BEA"/>
    <w:rsid w:val="609B6315"/>
    <w:rsid w:val="60AC169F"/>
    <w:rsid w:val="60AF0E29"/>
    <w:rsid w:val="60B43DFD"/>
    <w:rsid w:val="60B55179"/>
    <w:rsid w:val="60B84522"/>
    <w:rsid w:val="60BF5745"/>
    <w:rsid w:val="60C47684"/>
    <w:rsid w:val="60C90EA4"/>
    <w:rsid w:val="60CA2396"/>
    <w:rsid w:val="60CF0514"/>
    <w:rsid w:val="60D07484"/>
    <w:rsid w:val="60D10C0F"/>
    <w:rsid w:val="60D3569F"/>
    <w:rsid w:val="60D4537B"/>
    <w:rsid w:val="60D74889"/>
    <w:rsid w:val="60E02B8F"/>
    <w:rsid w:val="60E26F48"/>
    <w:rsid w:val="60E92E1A"/>
    <w:rsid w:val="60ED6BA8"/>
    <w:rsid w:val="60F37DA9"/>
    <w:rsid w:val="60FA110C"/>
    <w:rsid w:val="60FA46E4"/>
    <w:rsid w:val="60FD3753"/>
    <w:rsid w:val="60FE00AF"/>
    <w:rsid w:val="60FE35D0"/>
    <w:rsid w:val="6101046D"/>
    <w:rsid w:val="61047EF9"/>
    <w:rsid w:val="61064296"/>
    <w:rsid w:val="610864CC"/>
    <w:rsid w:val="610958BB"/>
    <w:rsid w:val="610A63CC"/>
    <w:rsid w:val="611558FC"/>
    <w:rsid w:val="61164EEF"/>
    <w:rsid w:val="61176A85"/>
    <w:rsid w:val="611A697F"/>
    <w:rsid w:val="61206479"/>
    <w:rsid w:val="612143A4"/>
    <w:rsid w:val="61216CB5"/>
    <w:rsid w:val="61221695"/>
    <w:rsid w:val="6124184C"/>
    <w:rsid w:val="61254671"/>
    <w:rsid w:val="612E3337"/>
    <w:rsid w:val="61331CD5"/>
    <w:rsid w:val="614050A9"/>
    <w:rsid w:val="61465E1A"/>
    <w:rsid w:val="614B5BCE"/>
    <w:rsid w:val="614D1495"/>
    <w:rsid w:val="614D2B5A"/>
    <w:rsid w:val="61524121"/>
    <w:rsid w:val="6155426A"/>
    <w:rsid w:val="615755AF"/>
    <w:rsid w:val="615D6475"/>
    <w:rsid w:val="61620240"/>
    <w:rsid w:val="616730ED"/>
    <w:rsid w:val="616C2054"/>
    <w:rsid w:val="616E3976"/>
    <w:rsid w:val="617D0D60"/>
    <w:rsid w:val="618321F0"/>
    <w:rsid w:val="618563BE"/>
    <w:rsid w:val="61861C69"/>
    <w:rsid w:val="61867017"/>
    <w:rsid w:val="618B084B"/>
    <w:rsid w:val="618E1E6E"/>
    <w:rsid w:val="618F22FB"/>
    <w:rsid w:val="61B15149"/>
    <w:rsid w:val="61B16AF8"/>
    <w:rsid w:val="61B71C73"/>
    <w:rsid w:val="61C1068B"/>
    <w:rsid w:val="61C56900"/>
    <w:rsid w:val="61C73EC2"/>
    <w:rsid w:val="61D32FE5"/>
    <w:rsid w:val="61D9528D"/>
    <w:rsid w:val="61DA6BBA"/>
    <w:rsid w:val="61DE7C3D"/>
    <w:rsid w:val="61E1330A"/>
    <w:rsid w:val="61E51E0F"/>
    <w:rsid w:val="61E852C9"/>
    <w:rsid w:val="61E93953"/>
    <w:rsid w:val="61EE26FB"/>
    <w:rsid w:val="61EE28BD"/>
    <w:rsid w:val="61F0115C"/>
    <w:rsid w:val="61FA5B62"/>
    <w:rsid w:val="6203062B"/>
    <w:rsid w:val="62070260"/>
    <w:rsid w:val="620A5E09"/>
    <w:rsid w:val="62164CFF"/>
    <w:rsid w:val="6222428F"/>
    <w:rsid w:val="623328EA"/>
    <w:rsid w:val="62390C34"/>
    <w:rsid w:val="6239162C"/>
    <w:rsid w:val="623D4624"/>
    <w:rsid w:val="623D5E3F"/>
    <w:rsid w:val="6241252A"/>
    <w:rsid w:val="62464E95"/>
    <w:rsid w:val="62475095"/>
    <w:rsid w:val="625377EA"/>
    <w:rsid w:val="625D49CE"/>
    <w:rsid w:val="6260455B"/>
    <w:rsid w:val="626114D6"/>
    <w:rsid w:val="6268560F"/>
    <w:rsid w:val="627C049D"/>
    <w:rsid w:val="627E327C"/>
    <w:rsid w:val="628E6DF2"/>
    <w:rsid w:val="62971DFA"/>
    <w:rsid w:val="629963D8"/>
    <w:rsid w:val="62B3642B"/>
    <w:rsid w:val="62B91CB2"/>
    <w:rsid w:val="62E05F11"/>
    <w:rsid w:val="62E70CE0"/>
    <w:rsid w:val="62F00E21"/>
    <w:rsid w:val="62F06C0E"/>
    <w:rsid w:val="62F571B6"/>
    <w:rsid w:val="62F91A8D"/>
    <w:rsid w:val="62FA0118"/>
    <w:rsid w:val="62FB5ADF"/>
    <w:rsid w:val="63016DD9"/>
    <w:rsid w:val="63060DC1"/>
    <w:rsid w:val="630B0513"/>
    <w:rsid w:val="630D5FB3"/>
    <w:rsid w:val="631D12C4"/>
    <w:rsid w:val="632F0EFF"/>
    <w:rsid w:val="633159CB"/>
    <w:rsid w:val="6332638D"/>
    <w:rsid w:val="633B2B0B"/>
    <w:rsid w:val="633C5BF9"/>
    <w:rsid w:val="633E36D1"/>
    <w:rsid w:val="6343466C"/>
    <w:rsid w:val="634A145E"/>
    <w:rsid w:val="634E753F"/>
    <w:rsid w:val="63607ED4"/>
    <w:rsid w:val="636469BD"/>
    <w:rsid w:val="63670D77"/>
    <w:rsid w:val="63685741"/>
    <w:rsid w:val="636A3942"/>
    <w:rsid w:val="636B5C5F"/>
    <w:rsid w:val="63716369"/>
    <w:rsid w:val="63767EE6"/>
    <w:rsid w:val="637919F5"/>
    <w:rsid w:val="637A710D"/>
    <w:rsid w:val="637D2E4D"/>
    <w:rsid w:val="63802ACC"/>
    <w:rsid w:val="6388225F"/>
    <w:rsid w:val="63947BA7"/>
    <w:rsid w:val="63B253E1"/>
    <w:rsid w:val="63B26566"/>
    <w:rsid w:val="63B601D2"/>
    <w:rsid w:val="63D86821"/>
    <w:rsid w:val="63D8720B"/>
    <w:rsid w:val="63DF3F98"/>
    <w:rsid w:val="63E02D15"/>
    <w:rsid w:val="63E0457C"/>
    <w:rsid w:val="63E25AFD"/>
    <w:rsid w:val="63E57666"/>
    <w:rsid w:val="63F03B38"/>
    <w:rsid w:val="63F731A5"/>
    <w:rsid w:val="63FC766C"/>
    <w:rsid w:val="63FE2454"/>
    <w:rsid w:val="64022F76"/>
    <w:rsid w:val="64084173"/>
    <w:rsid w:val="641269AD"/>
    <w:rsid w:val="64141212"/>
    <w:rsid w:val="641C56F8"/>
    <w:rsid w:val="64231408"/>
    <w:rsid w:val="64263EF4"/>
    <w:rsid w:val="64281DC7"/>
    <w:rsid w:val="6432123B"/>
    <w:rsid w:val="643A7824"/>
    <w:rsid w:val="644A3F96"/>
    <w:rsid w:val="64553AA4"/>
    <w:rsid w:val="64564ED9"/>
    <w:rsid w:val="645A5737"/>
    <w:rsid w:val="646029D7"/>
    <w:rsid w:val="64603768"/>
    <w:rsid w:val="646270E8"/>
    <w:rsid w:val="6467123E"/>
    <w:rsid w:val="64706790"/>
    <w:rsid w:val="64724898"/>
    <w:rsid w:val="647C3BBA"/>
    <w:rsid w:val="64805997"/>
    <w:rsid w:val="64813A7C"/>
    <w:rsid w:val="64823A3A"/>
    <w:rsid w:val="64855B2D"/>
    <w:rsid w:val="64867427"/>
    <w:rsid w:val="648976FB"/>
    <w:rsid w:val="648A2250"/>
    <w:rsid w:val="648B1491"/>
    <w:rsid w:val="648E1573"/>
    <w:rsid w:val="649A52C8"/>
    <w:rsid w:val="64B0747D"/>
    <w:rsid w:val="64B6071F"/>
    <w:rsid w:val="64BE2F18"/>
    <w:rsid w:val="64C004BC"/>
    <w:rsid w:val="64C03551"/>
    <w:rsid w:val="64C317B4"/>
    <w:rsid w:val="64C6530B"/>
    <w:rsid w:val="64D9451E"/>
    <w:rsid w:val="64DB77D5"/>
    <w:rsid w:val="64F31974"/>
    <w:rsid w:val="64FA5C63"/>
    <w:rsid w:val="64FA6AE2"/>
    <w:rsid w:val="6507069F"/>
    <w:rsid w:val="65127100"/>
    <w:rsid w:val="6532464B"/>
    <w:rsid w:val="65341AC5"/>
    <w:rsid w:val="653A34E5"/>
    <w:rsid w:val="653C6B1D"/>
    <w:rsid w:val="65433415"/>
    <w:rsid w:val="65463750"/>
    <w:rsid w:val="654E3228"/>
    <w:rsid w:val="65537C6B"/>
    <w:rsid w:val="655C685E"/>
    <w:rsid w:val="656160AB"/>
    <w:rsid w:val="65622086"/>
    <w:rsid w:val="65644A63"/>
    <w:rsid w:val="65655B02"/>
    <w:rsid w:val="656E3321"/>
    <w:rsid w:val="65757B8D"/>
    <w:rsid w:val="65764BA6"/>
    <w:rsid w:val="6578354B"/>
    <w:rsid w:val="658E776E"/>
    <w:rsid w:val="65907AC2"/>
    <w:rsid w:val="65A62A91"/>
    <w:rsid w:val="65A8734A"/>
    <w:rsid w:val="65A9185C"/>
    <w:rsid w:val="65AB43EF"/>
    <w:rsid w:val="65B430CC"/>
    <w:rsid w:val="65CC6A3A"/>
    <w:rsid w:val="65DB0A99"/>
    <w:rsid w:val="65E919BF"/>
    <w:rsid w:val="65ED7EEF"/>
    <w:rsid w:val="65F46CFC"/>
    <w:rsid w:val="65F73BB4"/>
    <w:rsid w:val="660658FA"/>
    <w:rsid w:val="660B1805"/>
    <w:rsid w:val="660C035C"/>
    <w:rsid w:val="66103D06"/>
    <w:rsid w:val="66190E3D"/>
    <w:rsid w:val="661C061C"/>
    <w:rsid w:val="6628673A"/>
    <w:rsid w:val="66300C32"/>
    <w:rsid w:val="6639596A"/>
    <w:rsid w:val="663F1119"/>
    <w:rsid w:val="66401DD3"/>
    <w:rsid w:val="6644369D"/>
    <w:rsid w:val="66513A8B"/>
    <w:rsid w:val="66515333"/>
    <w:rsid w:val="66543F3A"/>
    <w:rsid w:val="6654755D"/>
    <w:rsid w:val="66706DA7"/>
    <w:rsid w:val="66715E7B"/>
    <w:rsid w:val="66741783"/>
    <w:rsid w:val="66847504"/>
    <w:rsid w:val="66870478"/>
    <w:rsid w:val="66892842"/>
    <w:rsid w:val="66917990"/>
    <w:rsid w:val="66941DAA"/>
    <w:rsid w:val="66972F96"/>
    <w:rsid w:val="66976DD4"/>
    <w:rsid w:val="669A7003"/>
    <w:rsid w:val="66A54376"/>
    <w:rsid w:val="66AD05F5"/>
    <w:rsid w:val="66AD1818"/>
    <w:rsid w:val="66AD4A88"/>
    <w:rsid w:val="66B4636B"/>
    <w:rsid w:val="66B93F76"/>
    <w:rsid w:val="66BE7A6E"/>
    <w:rsid w:val="66C2655F"/>
    <w:rsid w:val="66D01D1D"/>
    <w:rsid w:val="66D20F68"/>
    <w:rsid w:val="66D6103F"/>
    <w:rsid w:val="66DB5E51"/>
    <w:rsid w:val="66DC2051"/>
    <w:rsid w:val="66E40BAD"/>
    <w:rsid w:val="66E77E06"/>
    <w:rsid w:val="66F861FA"/>
    <w:rsid w:val="670027A0"/>
    <w:rsid w:val="67037752"/>
    <w:rsid w:val="67050D51"/>
    <w:rsid w:val="67050D97"/>
    <w:rsid w:val="67091904"/>
    <w:rsid w:val="670E178E"/>
    <w:rsid w:val="6717419C"/>
    <w:rsid w:val="67212735"/>
    <w:rsid w:val="673611CB"/>
    <w:rsid w:val="67412B2B"/>
    <w:rsid w:val="674A450B"/>
    <w:rsid w:val="674B4E59"/>
    <w:rsid w:val="675005EC"/>
    <w:rsid w:val="675E366D"/>
    <w:rsid w:val="67635837"/>
    <w:rsid w:val="67690F3D"/>
    <w:rsid w:val="676B3A7C"/>
    <w:rsid w:val="676D52AA"/>
    <w:rsid w:val="677011BD"/>
    <w:rsid w:val="6770452E"/>
    <w:rsid w:val="67705A6F"/>
    <w:rsid w:val="67750EBE"/>
    <w:rsid w:val="67816012"/>
    <w:rsid w:val="67842D1C"/>
    <w:rsid w:val="678C278B"/>
    <w:rsid w:val="67991948"/>
    <w:rsid w:val="67A850E1"/>
    <w:rsid w:val="67AB3E74"/>
    <w:rsid w:val="67B0438B"/>
    <w:rsid w:val="67B33BE3"/>
    <w:rsid w:val="67B71656"/>
    <w:rsid w:val="67B723B3"/>
    <w:rsid w:val="67B743E8"/>
    <w:rsid w:val="67BD43E0"/>
    <w:rsid w:val="67BD4993"/>
    <w:rsid w:val="67C0411D"/>
    <w:rsid w:val="67C95416"/>
    <w:rsid w:val="67D74048"/>
    <w:rsid w:val="67E041E2"/>
    <w:rsid w:val="67E51F56"/>
    <w:rsid w:val="67E97A89"/>
    <w:rsid w:val="67F27764"/>
    <w:rsid w:val="6802359C"/>
    <w:rsid w:val="68081463"/>
    <w:rsid w:val="680A257F"/>
    <w:rsid w:val="680E50C8"/>
    <w:rsid w:val="681541C3"/>
    <w:rsid w:val="681674DF"/>
    <w:rsid w:val="681D6FA0"/>
    <w:rsid w:val="68373462"/>
    <w:rsid w:val="68447B3B"/>
    <w:rsid w:val="685C0FCA"/>
    <w:rsid w:val="68650F7D"/>
    <w:rsid w:val="68655BE3"/>
    <w:rsid w:val="686926D4"/>
    <w:rsid w:val="68774A50"/>
    <w:rsid w:val="68784EDA"/>
    <w:rsid w:val="687A62EB"/>
    <w:rsid w:val="687B4F8F"/>
    <w:rsid w:val="688A20B8"/>
    <w:rsid w:val="688C0135"/>
    <w:rsid w:val="688D57D8"/>
    <w:rsid w:val="6892047F"/>
    <w:rsid w:val="6897438E"/>
    <w:rsid w:val="68A01495"/>
    <w:rsid w:val="68A27905"/>
    <w:rsid w:val="68A550D0"/>
    <w:rsid w:val="68A57A2E"/>
    <w:rsid w:val="68A7533D"/>
    <w:rsid w:val="68BD6779"/>
    <w:rsid w:val="68C02111"/>
    <w:rsid w:val="68C42BDC"/>
    <w:rsid w:val="68CE3102"/>
    <w:rsid w:val="68D015E0"/>
    <w:rsid w:val="68D33B58"/>
    <w:rsid w:val="68D824C6"/>
    <w:rsid w:val="68E24545"/>
    <w:rsid w:val="68E31D7A"/>
    <w:rsid w:val="68E71448"/>
    <w:rsid w:val="68E92B61"/>
    <w:rsid w:val="68F308C4"/>
    <w:rsid w:val="68F51C33"/>
    <w:rsid w:val="68FA62F0"/>
    <w:rsid w:val="68FE7853"/>
    <w:rsid w:val="68FF6668"/>
    <w:rsid w:val="6901117B"/>
    <w:rsid w:val="69021A4A"/>
    <w:rsid w:val="69052CE9"/>
    <w:rsid w:val="690F4CC7"/>
    <w:rsid w:val="69156DDD"/>
    <w:rsid w:val="691D61F1"/>
    <w:rsid w:val="691E3879"/>
    <w:rsid w:val="69211467"/>
    <w:rsid w:val="69214564"/>
    <w:rsid w:val="69257A7E"/>
    <w:rsid w:val="69277662"/>
    <w:rsid w:val="69344B19"/>
    <w:rsid w:val="69345F83"/>
    <w:rsid w:val="69356146"/>
    <w:rsid w:val="69392613"/>
    <w:rsid w:val="69392966"/>
    <w:rsid w:val="693C2B63"/>
    <w:rsid w:val="694E1147"/>
    <w:rsid w:val="69520D7A"/>
    <w:rsid w:val="69573B6E"/>
    <w:rsid w:val="696032C7"/>
    <w:rsid w:val="696206D3"/>
    <w:rsid w:val="6967756D"/>
    <w:rsid w:val="6968644A"/>
    <w:rsid w:val="697011ED"/>
    <w:rsid w:val="69826A24"/>
    <w:rsid w:val="698B2061"/>
    <w:rsid w:val="699004F5"/>
    <w:rsid w:val="699B6DC8"/>
    <w:rsid w:val="69A97058"/>
    <w:rsid w:val="69AB6F60"/>
    <w:rsid w:val="69C8002E"/>
    <w:rsid w:val="69CF04C1"/>
    <w:rsid w:val="69D32FE1"/>
    <w:rsid w:val="69D457A0"/>
    <w:rsid w:val="69D463F2"/>
    <w:rsid w:val="69D72910"/>
    <w:rsid w:val="69D94035"/>
    <w:rsid w:val="69DC26A6"/>
    <w:rsid w:val="69E37874"/>
    <w:rsid w:val="69E56B54"/>
    <w:rsid w:val="69E96708"/>
    <w:rsid w:val="69ED002E"/>
    <w:rsid w:val="69ED6B4A"/>
    <w:rsid w:val="69EE54CD"/>
    <w:rsid w:val="69F92613"/>
    <w:rsid w:val="69FB7CD4"/>
    <w:rsid w:val="69FD723E"/>
    <w:rsid w:val="69FD7CEA"/>
    <w:rsid w:val="6A0229E5"/>
    <w:rsid w:val="6A067F83"/>
    <w:rsid w:val="6A097E59"/>
    <w:rsid w:val="6A171AFC"/>
    <w:rsid w:val="6A227A57"/>
    <w:rsid w:val="6A2A2D01"/>
    <w:rsid w:val="6A3225D7"/>
    <w:rsid w:val="6A3A620D"/>
    <w:rsid w:val="6A3B0B6C"/>
    <w:rsid w:val="6A3C0BF8"/>
    <w:rsid w:val="6A423E55"/>
    <w:rsid w:val="6A470981"/>
    <w:rsid w:val="6A4747AF"/>
    <w:rsid w:val="6A49294B"/>
    <w:rsid w:val="6A562B91"/>
    <w:rsid w:val="6A57299A"/>
    <w:rsid w:val="6A697946"/>
    <w:rsid w:val="6A6D6854"/>
    <w:rsid w:val="6A700CED"/>
    <w:rsid w:val="6A7017D7"/>
    <w:rsid w:val="6A7350A3"/>
    <w:rsid w:val="6AA235D3"/>
    <w:rsid w:val="6AA31D3D"/>
    <w:rsid w:val="6AB02B50"/>
    <w:rsid w:val="6AB14532"/>
    <w:rsid w:val="6ABB2ED0"/>
    <w:rsid w:val="6ABD7A51"/>
    <w:rsid w:val="6AC335C4"/>
    <w:rsid w:val="6ACC0F11"/>
    <w:rsid w:val="6ADB4318"/>
    <w:rsid w:val="6ADD7DFD"/>
    <w:rsid w:val="6AE2135D"/>
    <w:rsid w:val="6AE77D3D"/>
    <w:rsid w:val="6AE93C28"/>
    <w:rsid w:val="6AF05F1A"/>
    <w:rsid w:val="6B036D80"/>
    <w:rsid w:val="6B0451AB"/>
    <w:rsid w:val="6B110B6C"/>
    <w:rsid w:val="6B160110"/>
    <w:rsid w:val="6B167467"/>
    <w:rsid w:val="6B1A338E"/>
    <w:rsid w:val="6B21434C"/>
    <w:rsid w:val="6B237C36"/>
    <w:rsid w:val="6B2600DB"/>
    <w:rsid w:val="6B2718FD"/>
    <w:rsid w:val="6B2A147B"/>
    <w:rsid w:val="6B2B4CFC"/>
    <w:rsid w:val="6B2C290C"/>
    <w:rsid w:val="6B33476F"/>
    <w:rsid w:val="6B352059"/>
    <w:rsid w:val="6B3B4CA2"/>
    <w:rsid w:val="6B4514F6"/>
    <w:rsid w:val="6B4A50C0"/>
    <w:rsid w:val="6B4D3CED"/>
    <w:rsid w:val="6B5C7011"/>
    <w:rsid w:val="6B6A2B7E"/>
    <w:rsid w:val="6B705893"/>
    <w:rsid w:val="6B7221D1"/>
    <w:rsid w:val="6B725A81"/>
    <w:rsid w:val="6B7D16E0"/>
    <w:rsid w:val="6B7F30F3"/>
    <w:rsid w:val="6B873558"/>
    <w:rsid w:val="6B92645D"/>
    <w:rsid w:val="6B94060D"/>
    <w:rsid w:val="6B973734"/>
    <w:rsid w:val="6B975967"/>
    <w:rsid w:val="6B9A5777"/>
    <w:rsid w:val="6BA8277A"/>
    <w:rsid w:val="6BB248CC"/>
    <w:rsid w:val="6BBC0DCF"/>
    <w:rsid w:val="6BCA6179"/>
    <w:rsid w:val="6BCE3445"/>
    <w:rsid w:val="6BD0777F"/>
    <w:rsid w:val="6BD619EE"/>
    <w:rsid w:val="6BEA64E2"/>
    <w:rsid w:val="6BFA7E30"/>
    <w:rsid w:val="6BFB030F"/>
    <w:rsid w:val="6C016CAE"/>
    <w:rsid w:val="6C07197C"/>
    <w:rsid w:val="6C090252"/>
    <w:rsid w:val="6C0B7CD2"/>
    <w:rsid w:val="6C0D6AE8"/>
    <w:rsid w:val="6C100936"/>
    <w:rsid w:val="6C1962C3"/>
    <w:rsid w:val="6C1A6808"/>
    <w:rsid w:val="6C255AAD"/>
    <w:rsid w:val="6C2C5801"/>
    <w:rsid w:val="6C2D7320"/>
    <w:rsid w:val="6C2E3E73"/>
    <w:rsid w:val="6C3321F9"/>
    <w:rsid w:val="6C33267C"/>
    <w:rsid w:val="6C3D0F56"/>
    <w:rsid w:val="6C410CB8"/>
    <w:rsid w:val="6C452BDF"/>
    <w:rsid w:val="6C593A56"/>
    <w:rsid w:val="6C5E1CDD"/>
    <w:rsid w:val="6C62391B"/>
    <w:rsid w:val="6C660C8B"/>
    <w:rsid w:val="6C6A716D"/>
    <w:rsid w:val="6C6C6ED7"/>
    <w:rsid w:val="6C71767A"/>
    <w:rsid w:val="6C7C1F44"/>
    <w:rsid w:val="6C827094"/>
    <w:rsid w:val="6C8559E0"/>
    <w:rsid w:val="6C891188"/>
    <w:rsid w:val="6C8D26FB"/>
    <w:rsid w:val="6C996561"/>
    <w:rsid w:val="6CB01397"/>
    <w:rsid w:val="6CC25213"/>
    <w:rsid w:val="6CD76A8F"/>
    <w:rsid w:val="6CDE47C9"/>
    <w:rsid w:val="6CDF1F89"/>
    <w:rsid w:val="6CE0702D"/>
    <w:rsid w:val="6CE83295"/>
    <w:rsid w:val="6CEE220B"/>
    <w:rsid w:val="6CEE246E"/>
    <w:rsid w:val="6CF27A30"/>
    <w:rsid w:val="6CF6067E"/>
    <w:rsid w:val="6D032BD4"/>
    <w:rsid w:val="6D0535EE"/>
    <w:rsid w:val="6D0565AF"/>
    <w:rsid w:val="6D077405"/>
    <w:rsid w:val="6D0A3519"/>
    <w:rsid w:val="6D0B62E2"/>
    <w:rsid w:val="6D133D59"/>
    <w:rsid w:val="6D175B2B"/>
    <w:rsid w:val="6D264EC5"/>
    <w:rsid w:val="6D26662C"/>
    <w:rsid w:val="6D287D4F"/>
    <w:rsid w:val="6D2B3CDC"/>
    <w:rsid w:val="6D330DB7"/>
    <w:rsid w:val="6D437763"/>
    <w:rsid w:val="6D4B2385"/>
    <w:rsid w:val="6D4C07B8"/>
    <w:rsid w:val="6D500E33"/>
    <w:rsid w:val="6D5B1179"/>
    <w:rsid w:val="6D671B76"/>
    <w:rsid w:val="6D6D28AF"/>
    <w:rsid w:val="6D6E5E4C"/>
    <w:rsid w:val="6D771293"/>
    <w:rsid w:val="6D7D0954"/>
    <w:rsid w:val="6D8153B2"/>
    <w:rsid w:val="6D876AB7"/>
    <w:rsid w:val="6D8A27B4"/>
    <w:rsid w:val="6D8F154F"/>
    <w:rsid w:val="6D9757D1"/>
    <w:rsid w:val="6D9C3974"/>
    <w:rsid w:val="6DA062EA"/>
    <w:rsid w:val="6DA65DBF"/>
    <w:rsid w:val="6DA76631"/>
    <w:rsid w:val="6DA77315"/>
    <w:rsid w:val="6DAF65CC"/>
    <w:rsid w:val="6DB157A2"/>
    <w:rsid w:val="6DB25F3D"/>
    <w:rsid w:val="6DBA586C"/>
    <w:rsid w:val="6DBE0B3F"/>
    <w:rsid w:val="6DBF7294"/>
    <w:rsid w:val="6DC53FBD"/>
    <w:rsid w:val="6DC84395"/>
    <w:rsid w:val="6DC93FE2"/>
    <w:rsid w:val="6DCA77EA"/>
    <w:rsid w:val="6DD35114"/>
    <w:rsid w:val="6DDE35E8"/>
    <w:rsid w:val="6DE47135"/>
    <w:rsid w:val="6DE65A7A"/>
    <w:rsid w:val="6DE92FA2"/>
    <w:rsid w:val="6DEE0E7D"/>
    <w:rsid w:val="6DEF6BC8"/>
    <w:rsid w:val="6DF3002F"/>
    <w:rsid w:val="6DF574ED"/>
    <w:rsid w:val="6DF81839"/>
    <w:rsid w:val="6E0048DC"/>
    <w:rsid w:val="6E075019"/>
    <w:rsid w:val="6E0766A1"/>
    <w:rsid w:val="6E1419C0"/>
    <w:rsid w:val="6E166FE2"/>
    <w:rsid w:val="6E183FF4"/>
    <w:rsid w:val="6E1B11E5"/>
    <w:rsid w:val="6E1D151C"/>
    <w:rsid w:val="6E2E7D17"/>
    <w:rsid w:val="6E3323DD"/>
    <w:rsid w:val="6E3761D3"/>
    <w:rsid w:val="6E392DDA"/>
    <w:rsid w:val="6E3E2033"/>
    <w:rsid w:val="6E411943"/>
    <w:rsid w:val="6E440060"/>
    <w:rsid w:val="6E442CF5"/>
    <w:rsid w:val="6E54575C"/>
    <w:rsid w:val="6E5A2999"/>
    <w:rsid w:val="6E612C3F"/>
    <w:rsid w:val="6E650AD9"/>
    <w:rsid w:val="6E6F6D88"/>
    <w:rsid w:val="6E702FE8"/>
    <w:rsid w:val="6E706B87"/>
    <w:rsid w:val="6E766C71"/>
    <w:rsid w:val="6E7926F7"/>
    <w:rsid w:val="6E7B110F"/>
    <w:rsid w:val="6E8A2A35"/>
    <w:rsid w:val="6E915314"/>
    <w:rsid w:val="6EA04FAE"/>
    <w:rsid w:val="6EAA59A3"/>
    <w:rsid w:val="6EAA79ED"/>
    <w:rsid w:val="6EB029C1"/>
    <w:rsid w:val="6EB330A4"/>
    <w:rsid w:val="6EC161BE"/>
    <w:rsid w:val="6EC53240"/>
    <w:rsid w:val="6ECD08F1"/>
    <w:rsid w:val="6ED8031D"/>
    <w:rsid w:val="6EDF2531"/>
    <w:rsid w:val="6EE1335D"/>
    <w:rsid w:val="6EE50FBC"/>
    <w:rsid w:val="6EEF6508"/>
    <w:rsid w:val="6EF02682"/>
    <w:rsid w:val="6EFF1809"/>
    <w:rsid w:val="6F19615F"/>
    <w:rsid w:val="6F1A3B57"/>
    <w:rsid w:val="6F1A60C4"/>
    <w:rsid w:val="6F231E41"/>
    <w:rsid w:val="6F244447"/>
    <w:rsid w:val="6F303DE1"/>
    <w:rsid w:val="6F331C81"/>
    <w:rsid w:val="6F331F52"/>
    <w:rsid w:val="6F362062"/>
    <w:rsid w:val="6F3C0797"/>
    <w:rsid w:val="6F4048CA"/>
    <w:rsid w:val="6F405BD0"/>
    <w:rsid w:val="6F4713C5"/>
    <w:rsid w:val="6F4734D0"/>
    <w:rsid w:val="6F4B3953"/>
    <w:rsid w:val="6F555C91"/>
    <w:rsid w:val="6F603479"/>
    <w:rsid w:val="6F680494"/>
    <w:rsid w:val="6F6B5A9E"/>
    <w:rsid w:val="6F7A07E3"/>
    <w:rsid w:val="6F7D050B"/>
    <w:rsid w:val="6F8C33B0"/>
    <w:rsid w:val="6F8D5B36"/>
    <w:rsid w:val="6F953750"/>
    <w:rsid w:val="6FA04DA3"/>
    <w:rsid w:val="6FA10B29"/>
    <w:rsid w:val="6FAA2D8A"/>
    <w:rsid w:val="6FC02217"/>
    <w:rsid w:val="6FC34E9D"/>
    <w:rsid w:val="6FC60A07"/>
    <w:rsid w:val="6FC90F86"/>
    <w:rsid w:val="6FCD3BC3"/>
    <w:rsid w:val="6FCE2BBA"/>
    <w:rsid w:val="6FD91844"/>
    <w:rsid w:val="6FDF40F5"/>
    <w:rsid w:val="6FE0165C"/>
    <w:rsid w:val="6FE05F95"/>
    <w:rsid w:val="6FF021F5"/>
    <w:rsid w:val="6FF06B6B"/>
    <w:rsid w:val="6FF73491"/>
    <w:rsid w:val="6FF97C31"/>
    <w:rsid w:val="6FFC64FF"/>
    <w:rsid w:val="7001428F"/>
    <w:rsid w:val="700E7127"/>
    <w:rsid w:val="70133236"/>
    <w:rsid w:val="70156307"/>
    <w:rsid w:val="7016485B"/>
    <w:rsid w:val="701C590F"/>
    <w:rsid w:val="702033F7"/>
    <w:rsid w:val="7021034D"/>
    <w:rsid w:val="702D10A9"/>
    <w:rsid w:val="70315D3B"/>
    <w:rsid w:val="703D58C4"/>
    <w:rsid w:val="70453D87"/>
    <w:rsid w:val="704E5E48"/>
    <w:rsid w:val="7053674B"/>
    <w:rsid w:val="7055360F"/>
    <w:rsid w:val="70642BE6"/>
    <w:rsid w:val="706F497B"/>
    <w:rsid w:val="70724AB3"/>
    <w:rsid w:val="70877819"/>
    <w:rsid w:val="70916EF8"/>
    <w:rsid w:val="709261ED"/>
    <w:rsid w:val="709605AE"/>
    <w:rsid w:val="70A02568"/>
    <w:rsid w:val="70AD230C"/>
    <w:rsid w:val="70B4798A"/>
    <w:rsid w:val="70B91785"/>
    <w:rsid w:val="70C41020"/>
    <w:rsid w:val="70C671BA"/>
    <w:rsid w:val="70CC1017"/>
    <w:rsid w:val="70CF255C"/>
    <w:rsid w:val="70D5454C"/>
    <w:rsid w:val="70DC2C89"/>
    <w:rsid w:val="70DD041E"/>
    <w:rsid w:val="70DD743F"/>
    <w:rsid w:val="70DD7EE0"/>
    <w:rsid w:val="70E3150B"/>
    <w:rsid w:val="70E67B77"/>
    <w:rsid w:val="70F323B0"/>
    <w:rsid w:val="70FD7C9B"/>
    <w:rsid w:val="70FE0735"/>
    <w:rsid w:val="710221FA"/>
    <w:rsid w:val="71094431"/>
    <w:rsid w:val="710D3478"/>
    <w:rsid w:val="710F7585"/>
    <w:rsid w:val="711805A6"/>
    <w:rsid w:val="711A79AD"/>
    <w:rsid w:val="71217446"/>
    <w:rsid w:val="71224F32"/>
    <w:rsid w:val="7123463F"/>
    <w:rsid w:val="713B1ED6"/>
    <w:rsid w:val="71402DA5"/>
    <w:rsid w:val="714463AC"/>
    <w:rsid w:val="7144693A"/>
    <w:rsid w:val="71525708"/>
    <w:rsid w:val="71542A3C"/>
    <w:rsid w:val="71584711"/>
    <w:rsid w:val="71595F23"/>
    <w:rsid w:val="716A4C59"/>
    <w:rsid w:val="716D3AF0"/>
    <w:rsid w:val="717106F9"/>
    <w:rsid w:val="71811922"/>
    <w:rsid w:val="7184567C"/>
    <w:rsid w:val="71866C06"/>
    <w:rsid w:val="718F2568"/>
    <w:rsid w:val="718F3086"/>
    <w:rsid w:val="71910B53"/>
    <w:rsid w:val="719D1BC1"/>
    <w:rsid w:val="719E09E3"/>
    <w:rsid w:val="719F5958"/>
    <w:rsid w:val="71A33FEC"/>
    <w:rsid w:val="71A601E7"/>
    <w:rsid w:val="71AC51C8"/>
    <w:rsid w:val="71C37CE8"/>
    <w:rsid w:val="71C402EA"/>
    <w:rsid w:val="71D4132F"/>
    <w:rsid w:val="71D53676"/>
    <w:rsid w:val="71DA32B4"/>
    <w:rsid w:val="71E32E83"/>
    <w:rsid w:val="71F46D71"/>
    <w:rsid w:val="71F96411"/>
    <w:rsid w:val="71FA7506"/>
    <w:rsid w:val="72061465"/>
    <w:rsid w:val="721C0759"/>
    <w:rsid w:val="722F766C"/>
    <w:rsid w:val="723256D8"/>
    <w:rsid w:val="72382B26"/>
    <w:rsid w:val="72385872"/>
    <w:rsid w:val="72451F4F"/>
    <w:rsid w:val="7247128C"/>
    <w:rsid w:val="72493E35"/>
    <w:rsid w:val="725B0CD8"/>
    <w:rsid w:val="7264361A"/>
    <w:rsid w:val="726822A9"/>
    <w:rsid w:val="726C3438"/>
    <w:rsid w:val="727367E8"/>
    <w:rsid w:val="72791B78"/>
    <w:rsid w:val="727C5618"/>
    <w:rsid w:val="727F3E51"/>
    <w:rsid w:val="7287073E"/>
    <w:rsid w:val="728C70E1"/>
    <w:rsid w:val="7290542B"/>
    <w:rsid w:val="72913002"/>
    <w:rsid w:val="72917F17"/>
    <w:rsid w:val="72935E6A"/>
    <w:rsid w:val="729A7834"/>
    <w:rsid w:val="72A00661"/>
    <w:rsid w:val="72AF2463"/>
    <w:rsid w:val="72B06D9D"/>
    <w:rsid w:val="72B715E4"/>
    <w:rsid w:val="72C32F53"/>
    <w:rsid w:val="72C77A8A"/>
    <w:rsid w:val="72CB7C4C"/>
    <w:rsid w:val="72D86D20"/>
    <w:rsid w:val="72DB6BCE"/>
    <w:rsid w:val="72F70D65"/>
    <w:rsid w:val="72F762C6"/>
    <w:rsid w:val="72FE3E8E"/>
    <w:rsid w:val="731B711B"/>
    <w:rsid w:val="731C3ED2"/>
    <w:rsid w:val="731E5631"/>
    <w:rsid w:val="732009B8"/>
    <w:rsid w:val="732B0C72"/>
    <w:rsid w:val="733271A4"/>
    <w:rsid w:val="73330C63"/>
    <w:rsid w:val="733863E3"/>
    <w:rsid w:val="733A3332"/>
    <w:rsid w:val="733C1D9D"/>
    <w:rsid w:val="733E3B7F"/>
    <w:rsid w:val="733E46B2"/>
    <w:rsid w:val="733E586B"/>
    <w:rsid w:val="733E59D9"/>
    <w:rsid w:val="734B3969"/>
    <w:rsid w:val="73597F33"/>
    <w:rsid w:val="7375490C"/>
    <w:rsid w:val="73757E63"/>
    <w:rsid w:val="737D2F4F"/>
    <w:rsid w:val="738B029F"/>
    <w:rsid w:val="73900D21"/>
    <w:rsid w:val="739A7114"/>
    <w:rsid w:val="739F2349"/>
    <w:rsid w:val="739F6287"/>
    <w:rsid w:val="73A242CD"/>
    <w:rsid w:val="73A935F2"/>
    <w:rsid w:val="73AC333B"/>
    <w:rsid w:val="73B11DBC"/>
    <w:rsid w:val="73B1795C"/>
    <w:rsid w:val="73B51018"/>
    <w:rsid w:val="73B67CAD"/>
    <w:rsid w:val="73B86EBC"/>
    <w:rsid w:val="73C340B3"/>
    <w:rsid w:val="73C72DB3"/>
    <w:rsid w:val="73C854F0"/>
    <w:rsid w:val="73CE0B05"/>
    <w:rsid w:val="73D007EE"/>
    <w:rsid w:val="73D27A00"/>
    <w:rsid w:val="73D31801"/>
    <w:rsid w:val="73D9581C"/>
    <w:rsid w:val="73DA2FBB"/>
    <w:rsid w:val="73DC2CAB"/>
    <w:rsid w:val="73DC5744"/>
    <w:rsid w:val="73E36876"/>
    <w:rsid w:val="73E72CB9"/>
    <w:rsid w:val="74014C0C"/>
    <w:rsid w:val="740B7234"/>
    <w:rsid w:val="741B5358"/>
    <w:rsid w:val="74202F12"/>
    <w:rsid w:val="742C093F"/>
    <w:rsid w:val="742F68DF"/>
    <w:rsid w:val="7435797F"/>
    <w:rsid w:val="7442738A"/>
    <w:rsid w:val="744A0545"/>
    <w:rsid w:val="744F0653"/>
    <w:rsid w:val="744F7C70"/>
    <w:rsid w:val="74521009"/>
    <w:rsid w:val="74632A31"/>
    <w:rsid w:val="7465205B"/>
    <w:rsid w:val="746954DB"/>
    <w:rsid w:val="74743C33"/>
    <w:rsid w:val="747640DF"/>
    <w:rsid w:val="747E6036"/>
    <w:rsid w:val="74807A49"/>
    <w:rsid w:val="7482175B"/>
    <w:rsid w:val="74843F0D"/>
    <w:rsid w:val="74A67409"/>
    <w:rsid w:val="74B37F42"/>
    <w:rsid w:val="74B539F8"/>
    <w:rsid w:val="74B94875"/>
    <w:rsid w:val="74BA4FF9"/>
    <w:rsid w:val="74C311F6"/>
    <w:rsid w:val="74C53F19"/>
    <w:rsid w:val="74C579E1"/>
    <w:rsid w:val="74CA0770"/>
    <w:rsid w:val="74D52F3D"/>
    <w:rsid w:val="74D81528"/>
    <w:rsid w:val="74D96025"/>
    <w:rsid w:val="74DA07A2"/>
    <w:rsid w:val="74E1491C"/>
    <w:rsid w:val="74E67A31"/>
    <w:rsid w:val="74F61278"/>
    <w:rsid w:val="74F90505"/>
    <w:rsid w:val="74FC67D7"/>
    <w:rsid w:val="7501178C"/>
    <w:rsid w:val="75092044"/>
    <w:rsid w:val="7510516D"/>
    <w:rsid w:val="75124563"/>
    <w:rsid w:val="751274A1"/>
    <w:rsid w:val="75190871"/>
    <w:rsid w:val="751C2143"/>
    <w:rsid w:val="75295853"/>
    <w:rsid w:val="752D2921"/>
    <w:rsid w:val="752F1869"/>
    <w:rsid w:val="752F2DAC"/>
    <w:rsid w:val="75387884"/>
    <w:rsid w:val="75475838"/>
    <w:rsid w:val="75631790"/>
    <w:rsid w:val="7566472C"/>
    <w:rsid w:val="756B1E1E"/>
    <w:rsid w:val="756B62BD"/>
    <w:rsid w:val="7578413D"/>
    <w:rsid w:val="757B64ED"/>
    <w:rsid w:val="757C232A"/>
    <w:rsid w:val="75851DCA"/>
    <w:rsid w:val="75895C6B"/>
    <w:rsid w:val="758F3A2A"/>
    <w:rsid w:val="7595284C"/>
    <w:rsid w:val="759638CA"/>
    <w:rsid w:val="7599617F"/>
    <w:rsid w:val="759A19E2"/>
    <w:rsid w:val="759D7802"/>
    <w:rsid w:val="75A011FF"/>
    <w:rsid w:val="75A70E4F"/>
    <w:rsid w:val="75AA3F51"/>
    <w:rsid w:val="75B11420"/>
    <w:rsid w:val="75B263D3"/>
    <w:rsid w:val="75CB7A28"/>
    <w:rsid w:val="75DA0294"/>
    <w:rsid w:val="75DC2372"/>
    <w:rsid w:val="75E16CC1"/>
    <w:rsid w:val="75F22E0F"/>
    <w:rsid w:val="7600000E"/>
    <w:rsid w:val="760021B6"/>
    <w:rsid w:val="760950F4"/>
    <w:rsid w:val="76122AB3"/>
    <w:rsid w:val="76154B74"/>
    <w:rsid w:val="761C414A"/>
    <w:rsid w:val="761D237D"/>
    <w:rsid w:val="762721D0"/>
    <w:rsid w:val="76380CDC"/>
    <w:rsid w:val="76383420"/>
    <w:rsid w:val="76411431"/>
    <w:rsid w:val="7649562B"/>
    <w:rsid w:val="764F7C59"/>
    <w:rsid w:val="76536622"/>
    <w:rsid w:val="765566B4"/>
    <w:rsid w:val="76605088"/>
    <w:rsid w:val="76636412"/>
    <w:rsid w:val="766477E2"/>
    <w:rsid w:val="7668119A"/>
    <w:rsid w:val="766966D4"/>
    <w:rsid w:val="766E17F9"/>
    <w:rsid w:val="76894FB9"/>
    <w:rsid w:val="768C1EBA"/>
    <w:rsid w:val="768E260E"/>
    <w:rsid w:val="769222A0"/>
    <w:rsid w:val="769568F8"/>
    <w:rsid w:val="76993596"/>
    <w:rsid w:val="769F0134"/>
    <w:rsid w:val="76A65C22"/>
    <w:rsid w:val="76B14AAD"/>
    <w:rsid w:val="76B44C21"/>
    <w:rsid w:val="76C118A2"/>
    <w:rsid w:val="76C32B57"/>
    <w:rsid w:val="76C63D93"/>
    <w:rsid w:val="76CB0A63"/>
    <w:rsid w:val="76D25527"/>
    <w:rsid w:val="76D81970"/>
    <w:rsid w:val="76DD3810"/>
    <w:rsid w:val="76E451C7"/>
    <w:rsid w:val="76E472DD"/>
    <w:rsid w:val="76E8548D"/>
    <w:rsid w:val="76ED3B38"/>
    <w:rsid w:val="76F13EA7"/>
    <w:rsid w:val="76F14581"/>
    <w:rsid w:val="76F77BBD"/>
    <w:rsid w:val="76FD22EC"/>
    <w:rsid w:val="76FD6D57"/>
    <w:rsid w:val="77030B27"/>
    <w:rsid w:val="77034D41"/>
    <w:rsid w:val="77041D95"/>
    <w:rsid w:val="77095079"/>
    <w:rsid w:val="7718408C"/>
    <w:rsid w:val="771D7BC5"/>
    <w:rsid w:val="7723073F"/>
    <w:rsid w:val="772527B2"/>
    <w:rsid w:val="772A6A8E"/>
    <w:rsid w:val="773B25F8"/>
    <w:rsid w:val="773B48CE"/>
    <w:rsid w:val="773D0C62"/>
    <w:rsid w:val="773F62E5"/>
    <w:rsid w:val="7743414C"/>
    <w:rsid w:val="774551B5"/>
    <w:rsid w:val="77523DCF"/>
    <w:rsid w:val="77606B3D"/>
    <w:rsid w:val="776870B9"/>
    <w:rsid w:val="776967FB"/>
    <w:rsid w:val="776D4583"/>
    <w:rsid w:val="7776540C"/>
    <w:rsid w:val="777A37E1"/>
    <w:rsid w:val="778100C2"/>
    <w:rsid w:val="778121B3"/>
    <w:rsid w:val="77855EB4"/>
    <w:rsid w:val="779D35D8"/>
    <w:rsid w:val="77AA135C"/>
    <w:rsid w:val="77AB7E27"/>
    <w:rsid w:val="77AC14DA"/>
    <w:rsid w:val="77AD64CA"/>
    <w:rsid w:val="77AF3504"/>
    <w:rsid w:val="77B36F7C"/>
    <w:rsid w:val="77BC6B30"/>
    <w:rsid w:val="77BE1BC2"/>
    <w:rsid w:val="77C75FA5"/>
    <w:rsid w:val="77C926F0"/>
    <w:rsid w:val="77CA0362"/>
    <w:rsid w:val="77D17A81"/>
    <w:rsid w:val="77D2359F"/>
    <w:rsid w:val="77E40C30"/>
    <w:rsid w:val="77FC1B84"/>
    <w:rsid w:val="77FF3177"/>
    <w:rsid w:val="78055C6F"/>
    <w:rsid w:val="780752E6"/>
    <w:rsid w:val="780B6CC7"/>
    <w:rsid w:val="78153F77"/>
    <w:rsid w:val="78185315"/>
    <w:rsid w:val="781C67FA"/>
    <w:rsid w:val="782378AE"/>
    <w:rsid w:val="78296DAC"/>
    <w:rsid w:val="783267CC"/>
    <w:rsid w:val="783E418B"/>
    <w:rsid w:val="783F1754"/>
    <w:rsid w:val="784A7790"/>
    <w:rsid w:val="784E3C01"/>
    <w:rsid w:val="78570849"/>
    <w:rsid w:val="78575D9F"/>
    <w:rsid w:val="785B5DBF"/>
    <w:rsid w:val="78600977"/>
    <w:rsid w:val="78617AF2"/>
    <w:rsid w:val="78626899"/>
    <w:rsid w:val="786421F2"/>
    <w:rsid w:val="786616B3"/>
    <w:rsid w:val="786E5D08"/>
    <w:rsid w:val="787D41E5"/>
    <w:rsid w:val="787E7A1D"/>
    <w:rsid w:val="78812F7C"/>
    <w:rsid w:val="78975C7D"/>
    <w:rsid w:val="78A51B95"/>
    <w:rsid w:val="78AA6975"/>
    <w:rsid w:val="78B15E1D"/>
    <w:rsid w:val="78C15B1C"/>
    <w:rsid w:val="78C359B3"/>
    <w:rsid w:val="78C653C1"/>
    <w:rsid w:val="78C9190A"/>
    <w:rsid w:val="78C97D4F"/>
    <w:rsid w:val="78CC0493"/>
    <w:rsid w:val="78DB3FCA"/>
    <w:rsid w:val="78EC2D52"/>
    <w:rsid w:val="78F5480C"/>
    <w:rsid w:val="79036E66"/>
    <w:rsid w:val="790945D5"/>
    <w:rsid w:val="790B5E2B"/>
    <w:rsid w:val="790E47EA"/>
    <w:rsid w:val="790E548B"/>
    <w:rsid w:val="79104E2B"/>
    <w:rsid w:val="79135CA0"/>
    <w:rsid w:val="791467F0"/>
    <w:rsid w:val="7915089E"/>
    <w:rsid w:val="791A58CD"/>
    <w:rsid w:val="791D6D3A"/>
    <w:rsid w:val="791F537B"/>
    <w:rsid w:val="79344437"/>
    <w:rsid w:val="79367982"/>
    <w:rsid w:val="793D5C2F"/>
    <w:rsid w:val="793F7F0E"/>
    <w:rsid w:val="794A336F"/>
    <w:rsid w:val="794B6C37"/>
    <w:rsid w:val="79537099"/>
    <w:rsid w:val="79552D08"/>
    <w:rsid w:val="7957124C"/>
    <w:rsid w:val="795E7ED2"/>
    <w:rsid w:val="79672E22"/>
    <w:rsid w:val="79677010"/>
    <w:rsid w:val="796E6578"/>
    <w:rsid w:val="79711579"/>
    <w:rsid w:val="797121AE"/>
    <w:rsid w:val="797E1825"/>
    <w:rsid w:val="79A7288D"/>
    <w:rsid w:val="79AA3C4E"/>
    <w:rsid w:val="79AE312A"/>
    <w:rsid w:val="79B3208C"/>
    <w:rsid w:val="79B70130"/>
    <w:rsid w:val="79BD5598"/>
    <w:rsid w:val="79C8453B"/>
    <w:rsid w:val="79CB0706"/>
    <w:rsid w:val="79CB0751"/>
    <w:rsid w:val="79CE66ED"/>
    <w:rsid w:val="79CF6E25"/>
    <w:rsid w:val="79D42664"/>
    <w:rsid w:val="79D51250"/>
    <w:rsid w:val="79DB4236"/>
    <w:rsid w:val="79E66C93"/>
    <w:rsid w:val="79F16E80"/>
    <w:rsid w:val="79F32B94"/>
    <w:rsid w:val="79F842C2"/>
    <w:rsid w:val="79FA0A29"/>
    <w:rsid w:val="79FC6E04"/>
    <w:rsid w:val="79FE2A4E"/>
    <w:rsid w:val="7A081D42"/>
    <w:rsid w:val="7A0A6E0F"/>
    <w:rsid w:val="7A0A7223"/>
    <w:rsid w:val="7A0C4EA7"/>
    <w:rsid w:val="7A12552F"/>
    <w:rsid w:val="7A1524DD"/>
    <w:rsid w:val="7A1A1772"/>
    <w:rsid w:val="7A1E1DC3"/>
    <w:rsid w:val="7A2751AD"/>
    <w:rsid w:val="7A276994"/>
    <w:rsid w:val="7A2C129F"/>
    <w:rsid w:val="7A3B034D"/>
    <w:rsid w:val="7A3B1C6C"/>
    <w:rsid w:val="7A3F158B"/>
    <w:rsid w:val="7A4A132A"/>
    <w:rsid w:val="7A535840"/>
    <w:rsid w:val="7A646A69"/>
    <w:rsid w:val="7A6736BC"/>
    <w:rsid w:val="7A6A7B3B"/>
    <w:rsid w:val="7A7067FA"/>
    <w:rsid w:val="7A721F7E"/>
    <w:rsid w:val="7A746574"/>
    <w:rsid w:val="7A7678E5"/>
    <w:rsid w:val="7A7B24DD"/>
    <w:rsid w:val="7A7D2094"/>
    <w:rsid w:val="7A7F65CA"/>
    <w:rsid w:val="7A844954"/>
    <w:rsid w:val="7A867241"/>
    <w:rsid w:val="7A876B11"/>
    <w:rsid w:val="7A88301C"/>
    <w:rsid w:val="7A963A48"/>
    <w:rsid w:val="7A9660A3"/>
    <w:rsid w:val="7A9861CB"/>
    <w:rsid w:val="7A986784"/>
    <w:rsid w:val="7ABB3E82"/>
    <w:rsid w:val="7AC3568E"/>
    <w:rsid w:val="7AC449C6"/>
    <w:rsid w:val="7AD71052"/>
    <w:rsid w:val="7AD9797E"/>
    <w:rsid w:val="7ADE3DB2"/>
    <w:rsid w:val="7AE5682B"/>
    <w:rsid w:val="7AEE60EE"/>
    <w:rsid w:val="7B0E060E"/>
    <w:rsid w:val="7B0F5219"/>
    <w:rsid w:val="7B177A77"/>
    <w:rsid w:val="7B193032"/>
    <w:rsid w:val="7B1B1CF8"/>
    <w:rsid w:val="7B26484C"/>
    <w:rsid w:val="7B2B13FD"/>
    <w:rsid w:val="7B3339FA"/>
    <w:rsid w:val="7B346599"/>
    <w:rsid w:val="7B3C25E5"/>
    <w:rsid w:val="7B44094D"/>
    <w:rsid w:val="7B460BFD"/>
    <w:rsid w:val="7B4910BE"/>
    <w:rsid w:val="7B4A7A19"/>
    <w:rsid w:val="7B5D3226"/>
    <w:rsid w:val="7B5E4EEC"/>
    <w:rsid w:val="7B674BD7"/>
    <w:rsid w:val="7B6D1622"/>
    <w:rsid w:val="7B6E2192"/>
    <w:rsid w:val="7B722498"/>
    <w:rsid w:val="7B782690"/>
    <w:rsid w:val="7B793E87"/>
    <w:rsid w:val="7B7C50C8"/>
    <w:rsid w:val="7B7F3966"/>
    <w:rsid w:val="7B80148D"/>
    <w:rsid w:val="7B821ADA"/>
    <w:rsid w:val="7B8F5DA2"/>
    <w:rsid w:val="7B926883"/>
    <w:rsid w:val="7BA4369C"/>
    <w:rsid w:val="7BA71440"/>
    <w:rsid w:val="7BAE696E"/>
    <w:rsid w:val="7BAF3C86"/>
    <w:rsid w:val="7BC23E12"/>
    <w:rsid w:val="7BC45CF4"/>
    <w:rsid w:val="7BC92A6F"/>
    <w:rsid w:val="7BD36780"/>
    <w:rsid w:val="7BD4048E"/>
    <w:rsid w:val="7BD968AC"/>
    <w:rsid w:val="7BDE524C"/>
    <w:rsid w:val="7BE908F3"/>
    <w:rsid w:val="7BEA5E74"/>
    <w:rsid w:val="7BF00328"/>
    <w:rsid w:val="7BF577C1"/>
    <w:rsid w:val="7BF9001B"/>
    <w:rsid w:val="7BFE0389"/>
    <w:rsid w:val="7BFE08FA"/>
    <w:rsid w:val="7C091716"/>
    <w:rsid w:val="7C126AEB"/>
    <w:rsid w:val="7C1F2070"/>
    <w:rsid w:val="7C260105"/>
    <w:rsid w:val="7C2900A2"/>
    <w:rsid w:val="7C295D17"/>
    <w:rsid w:val="7C2A10CD"/>
    <w:rsid w:val="7C2C0E73"/>
    <w:rsid w:val="7C2D2AE7"/>
    <w:rsid w:val="7C2E5247"/>
    <w:rsid w:val="7C4A5A50"/>
    <w:rsid w:val="7C4B681D"/>
    <w:rsid w:val="7C4C575E"/>
    <w:rsid w:val="7C640974"/>
    <w:rsid w:val="7C643EF7"/>
    <w:rsid w:val="7C690B20"/>
    <w:rsid w:val="7C724EAE"/>
    <w:rsid w:val="7C780AD5"/>
    <w:rsid w:val="7C7A14F2"/>
    <w:rsid w:val="7C7E2FFC"/>
    <w:rsid w:val="7C7F038C"/>
    <w:rsid w:val="7C867154"/>
    <w:rsid w:val="7C8A49AA"/>
    <w:rsid w:val="7C8F78D5"/>
    <w:rsid w:val="7C9427B3"/>
    <w:rsid w:val="7C9E5A77"/>
    <w:rsid w:val="7CAD2B44"/>
    <w:rsid w:val="7CB74F4A"/>
    <w:rsid w:val="7CB80138"/>
    <w:rsid w:val="7CB838AF"/>
    <w:rsid w:val="7CBE6F50"/>
    <w:rsid w:val="7CC639C6"/>
    <w:rsid w:val="7CC96839"/>
    <w:rsid w:val="7CCC3CFE"/>
    <w:rsid w:val="7CCD12D3"/>
    <w:rsid w:val="7CD505D1"/>
    <w:rsid w:val="7CD534FD"/>
    <w:rsid w:val="7CD6692A"/>
    <w:rsid w:val="7CDE11DF"/>
    <w:rsid w:val="7CE215AC"/>
    <w:rsid w:val="7CE25B4A"/>
    <w:rsid w:val="7CE3422B"/>
    <w:rsid w:val="7CE5443B"/>
    <w:rsid w:val="7CE76B7F"/>
    <w:rsid w:val="7CED09D9"/>
    <w:rsid w:val="7CF436AD"/>
    <w:rsid w:val="7CF87323"/>
    <w:rsid w:val="7CFC65E9"/>
    <w:rsid w:val="7CFD1F2F"/>
    <w:rsid w:val="7CFF2442"/>
    <w:rsid w:val="7D0115A5"/>
    <w:rsid w:val="7D017D9A"/>
    <w:rsid w:val="7D080205"/>
    <w:rsid w:val="7D0A432A"/>
    <w:rsid w:val="7D0F2DDE"/>
    <w:rsid w:val="7D144B3C"/>
    <w:rsid w:val="7D167BA2"/>
    <w:rsid w:val="7D177687"/>
    <w:rsid w:val="7D1F5883"/>
    <w:rsid w:val="7D242066"/>
    <w:rsid w:val="7D282F0F"/>
    <w:rsid w:val="7D286550"/>
    <w:rsid w:val="7D3140B5"/>
    <w:rsid w:val="7D3874D2"/>
    <w:rsid w:val="7D405530"/>
    <w:rsid w:val="7D4241A1"/>
    <w:rsid w:val="7D452B7F"/>
    <w:rsid w:val="7D526E71"/>
    <w:rsid w:val="7D532432"/>
    <w:rsid w:val="7D5A5BFC"/>
    <w:rsid w:val="7D6518EB"/>
    <w:rsid w:val="7D6B77B5"/>
    <w:rsid w:val="7D7371E1"/>
    <w:rsid w:val="7D74008A"/>
    <w:rsid w:val="7D7862CF"/>
    <w:rsid w:val="7D7A4E9D"/>
    <w:rsid w:val="7D7F0E79"/>
    <w:rsid w:val="7D851CFF"/>
    <w:rsid w:val="7DA65B7D"/>
    <w:rsid w:val="7DA72A35"/>
    <w:rsid w:val="7DA86112"/>
    <w:rsid w:val="7DAE3829"/>
    <w:rsid w:val="7DB00509"/>
    <w:rsid w:val="7DB9268E"/>
    <w:rsid w:val="7DBF3388"/>
    <w:rsid w:val="7DC71DAD"/>
    <w:rsid w:val="7DC8040C"/>
    <w:rsid w:val="7DC85A3E"/>
    <w:rsid w:val="7DCD3893"/>
    <w:rsid w:val="7DCE15A0"/>
    <w:rsid w:val="7DCF3C5F"/>
    <w:rsid w:val="7DD03D33"/>
    <w:rsid w:val="7DD410E6"/>
    <w:rsid w:val="7DD603AD"/>
    <w:rsid w:val="7DD82F1A"/>
    <w:rsid w:val="7DDA1110"/>
    <w:rsid w:val="7DE020DC"/>
    <w:rsid w:val="7DE449CE"/>
    <w:rsid w:val="7DEC05A8"/>
    <w:rsid w:val="7DED1348"/>
    <w:rsid w:val="7DEE71DF"/>
    <w:rsid w:val="7DF66186"/>
    <w:rsid w:val="7E007B1A"/>
    <w:rsid w:val="7E0A5EA4"/>
    <w:rsid w:val="7E0A72D5"/>
    <w:rsid w:val="7E0B3C08"/>
    <w:rsid w:val="7E1C2B95"/>
    <w:rsid w:val="7E1E3CF4"/>
    <w:rsid w:val="7E212526"/>
    <w:rsid w:val="7E262B03"/>
    <w:rsid w:val="7E29766E"/>
    <w:rsid w:val="7E2E765A"/>
    <w:rsid w:val="7E324C10"/>
    <w:rsid w:val="7E324D32"/>
    <w:rsid w:val="7E3B7336"/>
    <w:rsid w:val="7E3D35D7"/>
    <w:rsid w:val="7E466A84"/>
    <w:rsid w:val="7E472FFE"/>
    <w:rsid w:val="7E4A6379"/>
    <w:rsid w:val="7E5248E3"/>
    <w:rsid w:val="7E5A2EA0"/>
    <w:rsid w:val="7E66305F"/>
    <w:rsid w:val="7E6854DB"/>
    <w:rsid w:val="7E6C43B3"/>
    <w:rsid w:val="7E77762F"/>
    <w:rsid w:val="7E793E63"/>
    <w:rsid w:val="7E7B1715"/>
    <w:rsid w:val="7E8031F2"/>
    <w:rsid w:val="7E860496"/>
    <w:rsid w:val="7E956D81"/>
    <w:rsid w:val="7E9611E7"/>
    <w:rsid w:val="7E9963F8"/>
    <w:rsid w:val="7E9D0633"/>
    <w:rsid w:val="7EA82B9C"/>
    <w:rsid w:val="7EA95574"/>
    <w:rsid w:val="7EB13A3E"/>
    <w:rsid w:val="7EB16AB6"/>
    <w:rsid w:val="7EBD651F"/>
    <w:rsid w:val="7EC05F3D"/>
    <w:rsid w:val="7EC07C28"/>
    <w:rsid w:val="7ECB3BBC"/>
    <w:rsid w:val="7ED83896"/>
    <w:rsid w:val="7EDC2729"/>
    <w:rsid w:val="7EE15DD1"/>
    <w:rsid w:val="7EEB46E8"/>
    <w:rsid w:val="7EEE3759"/>
    <w:rsid w:val="7EF04016"/>
    <w:rsid w:val="7EF94F98"/>
    <w:rsid w:val="7EFB200E"/>
    <w:rsid w:val="7EFF41BF"/>
    <w:rsid w:val="7F0126E4"/>
    <w:rsid w:val="7F013802"/>
    <w:rsid w:val="7F051449"/>
    <w:rsid w:val="7F1A1324"/>
    <w:rsid w:val="7F1A4AEF"/>
    <w:rsid w:val="7F271E5F"/>
    <w:rsid w:val="7F29623C"/>
    <w:rsid w:val="7F2D4C74"/>
    <w:rsid w:val="7F341EAD"/>
    <w:rsid w:val="7F350A03"/>
    <w:rsid w:val="7F375587"/>
    <w:rsid w:val="7F3B2B2F"/>
    <w:rsid w:val="7F406D66"/>
    <w:rsid w:val="7F421AF0"/>
    <w:rsid w:val="7F516AFB"/>
    <w:rsid w:val="7F585C16"/>
    <w:rsid w:val="7F5B38C5"/>
    <w:rsid w:val="7F5C5B37"/>
    <w:rsid w:val="7F6566E6"/>
    <w:rsid w:val="7F6A7C64"/>
    <w:rsid w:val="7F6B0BA4"/>
    <w:rsid w:val="7F6E0CE1"/>
    <w:rsid w:val="7F6F6E86"/>
    <w:rsid w:val="7F8A3738"/>
    <w:rsid w:val="7F8B3191"/>
    <w:rsid w:val="7F8E4655"/>
    <w:rsid w:val="7F8E6809"/>
    <w:rsid w:val="7F987985"/>
    <w:rsid w:val="7F9C63C5"/>
    <w:rsid w:val="7F9E0C2E"/>
    <w:rsid w:val="7FA23301"/>
    <w:rsid w:val="7FAF35C9"/>
    <w:rsid w:val="7FAF535A"/>
    <w:rsid w:val="7FB620B9"/>
    <w:rsid w:val="7FBE4780"/>
    <w:rsid w:val="7FC07CDA"/>
    <w:rsid w:val="7FC33EC6"/>
    <w:rsid w:val="7FD30895"/>
    <w:rsid w:val="7FD52EF4"/>
    <w:rsid w:val="7FE932BA"/>
    <w:rsid w:val="7FEC3423"/>
    <w:rsid w:val="7FFD6B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8" w:lineRule="atLeast"/>
      <w:outlineLvl w:val="0"/>
    </w:pPr>
    <w:rPr>
      <w:rFonts w:ascii="Calibri" w:hAnsi="Calibri" w:cs="Times New Roman"/>
      <w:b/>
      <w:bCs/>
      <w:kern w:val="44"/>
      <w:sz w:val="44"/>
      <w:szCs w:val="44"/>
    </w:rPr>
  </w:style>
  <w:style w:type="character" w:default="1" w:styleId="6">
    <w:name w:val="Default Paragraph Font"/>
    <w:semiHidden/>
    <w:qFormat/>
    <w:uiPriority w:val="0"/>
  </w:style>
  <w:style w:type="table" w:default="1" w:styleId="14">
    <w:name w:val="Normal Table"/>
    <w:semiHidden/>
    <w:qFormat/>
    <w:uiPriority w:val="0"/>
    <w:tblPr>
      <w:tblLayout w:type="fixed"/>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sz w:val="21"/>
      <w:szCs w:val="21"/>
    </w:rPr>
  </w:style>
  <w:style w:type="character" w:styleId="8">
    <w:name w:val="FollowedHyperlink"/>
    <w:basedOn w:val="6"/>
    <w:qFormat/>
    <w:uiPriority w:val="0"/>
    <w:rPr>
      <w:color w:val="4D7AD8"/>
      <w:u w:val="none"/>
    </w:rPr>
  </w:style>
  <w:style w:type="character" w:styleId="9">
    <w:name w:val="HTML Definition"/>
    <w:basedOn w:val="6"/>
    <w:qFormat/>
    <w:uiPriority w:val="0"/>
    <w:rPr>
      <w:i/>
      <w:bdr w:val="single" w:color="D9D9D9" w:sz="6" w:space="0"/>
      <w:shd w:val="clear" w:fill="FFFFFF"/>
    </w:rPr>
  </w:style>
  <w:style w:type="character" w:styleId="10">
    <w:name w:val="Hyperlink"/>
    <w:basedOn w:val="6"/>
    <w:qFormat/>
    <w:uiPriority w:val="0"/>
    <w:rPr>
      <w:color w:val="0000FF"/>
      <w:u w:val="single"/>
    </w:rPr>
  </w:style>
  <w:style w:type="character" w:styleId="11">
    <w:name w:val="HTML Code"/>
    <w:basedOn w:val="6"/>
    <w:qFormat/>
    <w:uiPriority w:val="0"/>
    <w:rPr>
      <w:rFonts w:hint="default" w:ascii="Consolas" w:hAnsi="Consolas" w:eastAsia="Consolas" w:cs="Consolas"/>
      <w:sz w:val="21"/>
      <w:szCs w:val="21"/>
    </w:rPr>
  </w:style>
  <w:style w:type="character" w:styleId="12">
    <w:name w:val="HTML Keyboard"/>
    <w:basedOn w:val="6"/>
    <w:qFormat/>
    <w:uiPriority w:val="0"/>
    <w:rPr>
      <w:rFonts w:ascii="Consolas" w:hAnsi="Consolas" w:eastAsia="Consolas" w:cs="Consolas"/>
      <w:color w:val="666666"/>
      <w:sz w:val="21"/>
      <w:szCs w:val="21"/>
    </w:rPr>
  </w:style>
  <w:style w:type="character" w:styleId="13">
    <w:name w:val="HTML Sample"/>
    <w:basedOn w:val="6"/>
    <w:qFormat/>
    <w:uiPriority w:val="0"/>
    <w:rPr>
      <w:rFonts w:hint="default" w:ascii="Consolas" w:hAnsi="Consolas" w:eastAsia="Consolas" w:cs="Consolas"/>
      <w:sz w:val="21"/>
      <w:szCs w:val="21"/>
    </w:rPr>
  </w:style>
  <w:style w:type="table" w:styleId="15">
    <w:name w:val="Table Gri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6">
    <w:name w:val="first-child2"/>
    <w:basedOn w:val="6"/>
    <w:qFormat/>
    <w:uiPriority w:val="0"/>
    <w:rPr>
      <w:sz w:val="13"/>
      <w:szCs w:val="13"/>
    </w:rPr>
  </w:style>
  <w:style w:type="character" w:customStyle="1" w:styleId="17">
    <w:name w:val="ant-select-tree-switcher"/>
    <w:basedOn w:val="6"/>
    <w:qFormat/>
    <w:uiPriority w:val="0"/>
  </w:style>
  <w:style w:type="character" w:customStyle="1" w:styleId="18">
    <w:name w:val="ant-tree-iconele"/>
    <w:basedOn w:val="6"/>
    <w:qFormat/>
    <w:uiPriority w:val="0"/>
  </w:style>
  <w:style w:type="character" w:customStyle="1" w:styleId="19">
    <w:name w:val="ant-radio+*"/>
    <w:basedOn w:val="6"/>
    <w:qFormat/>
    <w:uiPriority w:val="0"/>
  </w:style>
  <w:style w:type="character" w:customStyle="1" w:styleId="20">
    <w:name w:val="selected4"/>
    <w:basedOn w:val="6"/>
    <w:qFormat/>
    <w:uiPriority w:val="0"/>
  </w:style>
  <w:style w:type="character" w:customStyle="1" w:styleId="21">
    <w:name w:val="selected5"/>
    <w:basedOn w:val="6"/>
    <w:qFormat/>
    <w:uiPriority w:val="0"/>
  </w:style>
  <w:style w:type="character" w:customStyle="1" w:styleId="22">
    <w:name w:val="selected6"/>
    <w:basedOn w:val="6"/>
    <w:qFormat/>
    <w:uiPriority w:val="0"/>
  </w:style>
  <w:style w:type="character" w:customStyle="1" w:styleId="23">
    <w:name w:val="button"/>
    <w:basedOn w:val="6"/>
    <w:qFormat/>
    <w:uiPriority w:val="0"/>
  </w:style>
  <w:style w:type="character" w:customStyle="1" w:styleId="24">
    <w:name w:val="hover19"/>
    <w:basedOn w:val="6"/>
    <w:qFormat/>
    <w:uiPriority w:val="0"/>
    <w:rPr>
      <w:color w:val="009DFF"/>
    </w:rPr>
  </w:style>
  <w:style w:type="character" w:customStyle="1" w:styleId="25">
    <w:name w:val="hover20"/>
    <w:basedOn w:val="6"/>
    <w:qFormat/>
    <w:uiPriority w:val="0"/>
    <w:rPr>
      <w:color w:val="009DFF"/>
    </w:rPr>
  </w:style>
  <w:style w:type="character" w:customStyle="1" w:styleId="26">
    <w:name w:val="ant-tree-switcher"/>
    <w:basedOn w:val="6"/>
    <w:qFormat/>
    <w:uiPriority w:val="0"/>
  </w:style>
  <w:style w:type="character" w:customStyle="1" w:styleId="27">
    <w:name w:val="ant-select-tree-checkbox2"/>
    <w:basedOn w:val="6"/>
    <w:qFormat/>
    <w:uiPriority w:val="0"/>
  </w:style>
  <w:style w:type="character" w:customStyle="1" w:styleId="28">
    <w:name w:val="ant-select-tree-iconele"/>
    <w:basedOn w:val="6"/>
    <w:qFormat/>
    <w:uiPriority w:val="0"/>
  </w:style>
  <w:style w:type="character" w:customStyle="1" w:styleId="29">
    <w:name w:val="ant-tree-checkbox6"/>
    <w:basedOn w:val="6"/>
    <w:qFormat/>
    <w:uiPriority w:val="0"/>
  </w:style>
  <w:style w:type="character" w:customStyle="1" w:styleId="30">
    <w:name w:val="wea-thumbnails-doc-content-subtitle"/>
    <w:basedOn w:val="6"/>
    <w:qFormat/>
    <w:uiPriority w:val="0"/>
    <w:rPr>
      <w:color w:val="9A9A9A"/>
    </w:rPr>
  </w:style>
  <w:style w:type="character" w:customStyle="1" w:styleId="31">
    <w:name w:val="ht_nestinglevel"/>
    <w:basedOn w:val="6"/>
    <w:qFormat/>
    <w:uiPriority w:val="0"/>
  </w:style>
  <w:style w:type="character" w:customStyle="1" w:styleId="32">
    <w:name w:val="ht_nestinglevel_empty"/>
    <w:basedOn w:val="6"/>
    <w:qFormat/>
    <w:uiPriority w:val="0"/>
  </w:style>
  <w:style w:type="character" w:customStyle="1" w:styleId="33">
    <w:name w:val="colheader"/>
    <w:basedOn w:val="6"/>
    <w:qFormat/>
    <w:uiPriority w:val="0"/>
  </w:style>
  <w:style w:type="character" w:customStyle="1" w:styleId="34">
    <w:name w:val="ant-tree-checkbox"/>
    <w:basedOn w:val="6"/>
    <w:qFormat/>
    <w:uiPriority w:val="0"/>
  </w:style>
  <w:style w:type="character" w:customStyle="1" w:styleId="35">
    <w:name w:val="first-child"/>
    <w:basedOn w:val="6"/>
    <w:qFormat/>
    <w:uiPriority w:val="0"/>
    <w:rPr>
      <w:sz w:val="13"/>
      <w:szCs w:val="13"/>
    </w:rPr>
  </w:style>
  <w:style w:type="character" w:customStyle="1" w:styleId="36">
    <w:name w:val="ant-tree-switcher6"/>
    <w:basedOn w:val="6"/>
    <w:qFormat/>
    <w:uiPriority w:val="0"/>
  </w:style>
  <w:style w:type="character" w:customStyle="1" w:styleId="37">
    <w:name w:val="selected"/>
    <w:basedOn w:val="6"/>
    <w:qFormat/>
    <w:uiPriority w:val="0"/>
  </w:style>
  <w:style w:type="character" w:customStyle="1" w:styleId="38">
    <w:name w:val="selected1"/>
    <w:basedOn w:val="6"/>
    <w:qFormat/>
    <w:uiPriority w:val="0"/>
  </w:style>
  <w:style w:type="character" w:customStyle="1" w:styleId="39">
    <w:name w:val="selected2"/>
    <w:basedOn w:val="6"/>
    <w:qFormat/>
    <w:uiPriority w:val="0"/>
  </w:style>
  <w:style w:type="character" w:customStyle="1" w:styleId="40">
    <w:name w:val="ant-select-tree-checkbox"/>
    <w:basedOn w:val="6"/>
    <w:qFormat/>
    <w:uiPriority w:val="0"/>
  </w:style>
  <w:style w:type="character" w:customStyle="1" w:styleId="41">
    <w:name w:val="ant-tree-switcher5"/>
    <w:basedOn w:val="6"/>
    <w:qFormat/>
    <w:uiPriority w:val="0"/>
  </w:style>
  <w:style w:type="character" w:customStyle="1" w:styleId="42">
    <w:name w:val="selected7"/>
    <w:basedOn w:val="6"/>
    <w:qFormat/>
    <w:uiPriority w:val="0"/>
  </w:style>
  <w:style w:type="character" w:customStyle="1" w:styleId="43">
    <w:name w:val="selected11"/>
    <w:basedOn w:val="6"/>
    <w:qFormat/>
    <w:uiPriority w:val="0"/>
  </w:style>
  <w:style w:type="character" w:customStyle="1" w:styleId="44">
    <w:name w:val="selected12"/>
    <w:basedOn w:val="6"/>
    <w:qFormat/>
    <w:uiPriority w:val="0"/>
  </w:style>
  <w:style w:type="character" w:customStyle="1" w:styleId="45">
    <w:name w:val="selected13"/>
    <w:basedOn w:val="6"/>
    <w:qFormat/>
    <w:uiPriority w:val="0"/>
  </w:style>
  <w:style w:type="character" w:customStyle="1" w:styleId="46">
    <w:name w:val="selected8"/>
    <w:basedOn w:val="6"/>
    <w:qFormat/>
    <w:uiPriority w:val="0"/>
  </w:style>
  <w:style w:type="character" w:customStyle="1" w:styleId="47">
    <w:name w:val="selected9"/>
    <w:basedOn w:val="6"/>
    <w:qFormat/>
    <w:uiPriority w:val="0"/>
  </w:style>
  <w:style w:type="character" w:customStyle="1" w:styleId="48">
    <w:name w:val="selected10"/>
    <w:basedOn w:val="6"/>
    <w:qFormat/>
    <w:uiPriority w:val="0"/>
  </w:style>
  <w:style w:type="character" w:customStyle="1" w:styleId="49">
    <w:name w:val="hover18"/>
    <w:basedOn w:val="6"/>
    <w:qFormat/>
    <w:uiPriority w:val="0"/>
    <w:rPr>
      <w:color w:val="009DFF"/>
    </w:rPr>
  </w:style>
  <w:style w:type="character" w:customStyle="1" w:styleId="50">
    <w:name w:val="ant-tree-checkbox5"/>
    <w:basedOn w:val="6"/>
    <w:qFormat/>
    <w:uiPriority w:val="0"/>
  </w:style>
  <w:style w:type="character" w:customStyle="1" w:styleId="51">
    <w:name w:val="ant-tree-switcher4"/>
    <w:basedOn w:val="6"/>
    <w:qFormat/>
    <w:uiPriority w:val="0"/>
  </w:style>
  <w:style w:type="character" w:customStyle="1" w:styleId="52">
    <w:name w:val="hover"/>
    <w:basedOn w:val="6"/>
    <w:qFormat/>
    <w:uiPriority w:val="0"/>
    <w:rPr>
      <w:color w:val="009DFF"/>
    </w:rPr>
  </w:style>
  <w:style w:type="character" w:customStyle="1" w:styleId="53">
    <w:name w:val="hover1"/>
    <w:basedOn w:val="6"/>
    <w:qFormat/>
    <w:uiPriority w:val="0"/>
    <w:rPr>
      <w:color w:val="009DFF"/>
    </w:rPr>
  </w:style>
  <w:style w:type="character" w:customStyle="1" w:styleId="54">
    <w:name w:val="hover15"/>
    <w:basedOn w:val="6"/>
    <w:qFormat/>
    <w:uiPriority w:val="0"/>
    <w:rPr>
      <w:color w:val="009DFF"/>
    </w:rPr>
  </w:style>
  <w:style w:type="character" w:customStyle="1" w:styleId="55">
    <w:name w:val="hover16"/>
    <w:basedOn w:val="6"/>
    <w:qFormat/>
    <w:uiPriority w:val="0"/>
    <w:rPr>
      <w:color w:val="009DFF"/>
    </w:rPr>
  </w:style>
  <w:style w:type="character" w:customStyle="1" w:styleId="56">
    <w:name w:val="ant-tree-checkbox4"/>
    <w:basedOn w:val="6"/>
    <w:qFormat/>
    <w:uiPriority w:val="0"/>
  </w:style>
  <w:style w:type="character" w:customStyle="1" w:styleId="57">
    <w:name w:val="hover17"/>
    <w:basedOn w:val="6"/>
    <w:qFormat/>
    <w:uiPriority w:val="0"/>
    <w:rPr>
      <w:color w:val="009DFF"/>
    </w:rPr>
  </w:style>
  <w:style w:type="character" w:customStyle="1" w:styleId="58">
    <w:name w:val="hover14"/>
    <w:basedOn w:val="6"/>
    <w:qFormat/>
    <w:uiPriority w:val="0"/>
    <w:rPr>
      <w:color w:val="009DFF"/>
    </w:rPr>
  </w:style>
  <w:style w:type="character" w:customStyle="1" w:styleId="59">
    <w:name w:val="hover13"/>
    <w:basedOn w:val="6"/>
    <w:qFormat/>
    <w:uiPriority w:val="0"/>
    <w:rPr>
      <w:color w:val="009DFF"/>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17</TotalTime>
  <ScaleCrop>false</ScaleCrop>
  <LinksUpToDate>false</LinksUpToDate>
  <CharactersWithSpaces>0</CharactersWithSpaces>
  <Application>WPS Office_10.8.2.7058_F1E327BC-269C-435d-A152-05C5408002CA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2023-12-15T03:58:00Z</dcterms:created>
  <dc:creator>admin</dc:creator>
  <cp:lastModifiedBy>admin</cp:lastModifiedBy>
  <cp:lastPrinted>2024-08-26T02:46:00Z</cp:lastPrinted>
  <dcterms:modified xsi:type="dcterms:W3CDTF">2024-08-26T06:08:03Z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2052-10.8.2.7058</vt:lpwstr>
  </property>
  <property fmtid="{D5CDD505-2E9C-101B-9397-08002B2CF9AE}" pid="3" name="ICV">
    <vt:lpwstr>2AFE29251F2D47119EA111B2B617C6AF_13</vt:lpwstr>
  </property>
</Properties>
</file>