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409C5F">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color w:val="FF0000"/>
          <w:spacing w:val="-119"/>
          <w:kern w:val="36"/>
          <w:sz w:val="144"/>
          <w:szCs w:val="144"/>
        </w:rPr>
      </w:pPr>
      <w:r>
        <w:rPr>
          <w:rFonts w:hint="default" w:ascii="Times New Roman" w:hAnsi="Times New Roman" w:eastAsia="经典行楷简" w:cs="Times New Roman"/>
          <w:b/>
          <w:color w:val="1F497D"/>
          <w:spacing w:val="-119"/>
          <w:kern w:val="36"/>
          <w:sz w:val="144"/>
          <w:szCs w:val="144"/>
          <w14:textFill>
            <w14:solidFill>
              <w14:srgbClr w14:val="1F497D">
                <w14:lumMod w14:val="60000"/>
                <w14:lumOff w14:val="40000"/>
              </w14:srgbClr>
            </w14:solidFill>
          </w14:textFill>
        </w:rPr>
        <w:t>江苏贸促周讯</w:t>
      </w:r>
    </w:p>
    <w:p w14:paraId="0BBB31A0">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6" w:themeColor="accent1" w:themeShade="BF"/>
          <w:kern w:val="36"/>
          <w:sz w:val="44"/>
          <w:szCs w:val="44"/>
        </w:rPr>
      </w:pPr>
      <w:r>
        <w:rPr>
          <w:rFonts w:hint="default" w:ascii="Times New Roman" w:hAnsi="Times New Roman" w:eastAsia="经典行楷简" w:cs="Times New Roman"/>
          <w:b w:val="0"/>
          <w:bCs/>
          <w:color w:val="2E75B6" w:themeColor="accent1" w:themeShade="BF"/>
          <w:kern w:val="36"/>
          <w:sz w:val="44"/>
          <w:szCs w:val="44"/>
        </w:rPr>
        <w:t>202</w:t>
      </w:r>
      <w:r>
        <w:rPr>
          <w:rFonts w:hint="eastAsia" w:ascii="Times New Roman" w:hAnsi="Times New Roman" w:eastAsia="经典行楷简" w:cs="Times New Roman"/>
          <w:b w:val="0"/>
          <w:bCs/>
          <w:color w:val="2E75B6" w:themeColor="accent1" w:themeShade="BF"/>
          <w:kern w:val="36"/>
          <w:sz w:val="44"/>
          <w:szCs w:val="44"/>
          <w:lang w:val="en-US" w:eastAsia="zh-CN"/>
        </w:rPr>
        <w:t>6</w:t>
      </w:r>
      <w:r>
        <w:rPr>
          <w:rFonts w:hint="default" w:ascii="Times New Roman" w:hAnsi="Times New Roman" w:eastAsia="经典行楷简" w:cs="Times New Roman"/>
          <w:b w:val="0"/>
          <w:bCs/>
          <w:color w:val="2E75B6" w:themeColor="accent1" w:themeShade="BF"/>
          <w:kern w:val="36"/>
          <w:sz w:val="44"/>
          <w:szCs w:val="44"/>
        </w:rPr>
        <w:t>年第</w:t>
      </w:r>
      <w:r>
        <w:rPr>
          <w:rFonts w:hint="eastAsia" w:ascii="Times New Roman" w:hAnsi="Times New Roman" w:eastAsia="经典行楷简" w:cs="Times New Roman"/>
          <w:b w:val="0"/>
          <w:bCs/>
          <w:color w:val="2E75B6" w:themeColor="accent1" w:themeShade="BF"/>
          <w:kern w:val="36"/>
          <w:sz w:val="44"/>
          <w:szCs w:val="44"/>
          <w:lang w:val="en-US" w:eastAsia="zh-CN"/>
        </w:rPr>
        <w:t>8</w:t>
      </w:r>
      <w:r>
        <w:rPr>
          <w:rFonts w:hint="default" w:ascii="Times New Roman" w:hAnsi="Times New Roman" w:eastAsia="经典行楷简" w:cs="Times New Roman"/>
          <w:b w:val="0"/>
          <w:bCs/>
          <w:color w:val="2E75B6" w:themeColor="accent1" w:themeShade="BF"/>
          <w:kern w:val="36"/>
          <w:sz w:val="44"/>
          <w:szCs w:val="44"/>
        </w:rPr>
        <w:t>期</w:t>
      </w:r>
    </w:p>
    <w:p w14:paraId="33D75D5A">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gradFill>
          </w14:textFill>
        </w:rPr>
      </w:pP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gradFill>
          </w14:textFill>
        </w:rPr>
        <w:t>（</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gradFill>
          </w14:textFill>
        </w:rPr>
        <w:t>总第</w:t>
      </w:r>
      <w:r>
        <w:rPr>
          <w:rFonts w:hint="eastAsia"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gradFill>
          </w14:textFill>
        </w:rPr>
        <w:t>344</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gradFill>
          </w14:textFill>
        </w:rPr>
        <w:t>期</w:t>
      </w: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gradFill>
          </w14:textFill>
        </w:rPr>
        <w:t>）</w:t>
      </w:r>
    </w:p>
    <w:p w14:paraId="5DAE9BA1">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28" w:firstLineChars="200"/>
        <w:jc w:val="both"/>
        <w:textAlignment w:val="auto"/>
        <w:outlineLvl w:val="1"/>
        <w:rPr>
          <w:rFonts w:hint="default" w:ascii="Times New Roman" w:hAnsi="Times New Roman" w:eastAsia="方正楷体_GBK" w:cs="Times New Roman"/>
          <w:b w:val="0"/>
          <w:bCs/>
          <w:color w:val="000000"/>
          <w:kern w:val="36"/>
          <w:sz w:val="36"/>
          <w:szCs w:val="36"/>
          <w:highlight w:val="none"/>
          <w:lang w:val="en-US"/>
        </w:rPr>
      </w:pPr>
      <w:r>
        <w:rPr>
          <w:rFonts w:hint="eastAsia" w:ascii="方正公文黑体" w:hAnsi="方正公文黑体" w:eastAsia="方正公文黑体" w:cs="方正公文黑体"/>
          <w:b w:val="0"/>
          <w:bCs/>
          <w:color w:val="1F497D"/>
          <w:kern w:val="36"/>
          <w:sz w:val="28"/>
          <w:szCs w:val="28"/>
          <w:highlight w:val="none"/>
          <w14:textFill>
            <w14:solidFill>
              <w14:srgbClr w14:val="1F497D">
                <w14:lumMod w14:val="60000"/>
                <w14:lumOff w14:val="40000"/>
              </w14:srgbClr>
            </w14:solidFill>
          </w14:textFill>
        </w:rPr>
        <w:t>江苏省贸促会发展研究部</w:t>
      </w:r>
      <w:r>
        <w:rPr>
          <w:rFonts w:hint="default" w:ascii="Times New Roman" w:hAnsi="Times New Roman" w:eastAsia="宋体" w:cs="Times New Roman"/>
          <w:b/>
          <w:color w:val="00B0F0"/>
          <w:kern w:val="36"/>
          <w:sz w:val="28"/>
          <w:szCs w:val="28"/>
          <w:highlight w:val="none"/>
        </w:rPr>
        <w:t xml:space="preserve"> </w:t>
      </w:r>
      <w:r>
        <w:rPr>
          <w:rFonts w:hint="default" w:ascii="Times New Roman" w:hAnsi="Times New Roman" w:eastAsia="宋体" w:cs="Times New Roman"/>
          <w:b/>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lang w:val="en-US"/>
        </w:rPr>
        <w:t xml:space="preserve">     </w:t>
      </w:r>
      <w:r>
        <w:rPr>
          <w:rFonts w:hint="default" w:ascii="Times New Roman" w:hAnsi="Times New Roman" w:eastAsia="方正楷体_GBK" w:cs="Times New Roman"/>
          <w:b w:val="0"/>
          <w:bCs/>
          <w:color w:val="000000"/>
          <w:kern w:val="36"/>
          <w:sz w:val="32"/>
          <w:szCs w:val="32"/>
          <w:highlight w:val="none"/>
          <w:lang w:val="en-US"/>
        </w:rPr>
        <w:t xml:space="preserve"> </w:t>
      </w:r>
      <w:r>
        <w:rPr>
          <w:rFonts w:hint="default" w:ascii="Times New Roman" w:hAnsi="Times New Roman" w:eastAsia="方正楷体_GBK" w:cs="Times New Roman"/>
          <w:b w:val="0"/>
          <w:bCs/>
          <w:color w:val="000000"/>
          <w:kern w:val="36"/>
          <w:sz w:val="32"/>
          <w:szCs w:val="32"/>
          <w:highlight w:val="none"/>
        </w:rPr>
        <w:t>202</w:t>
      </w:r>
      <w:r>
        <w:rPr>
          <w:rFonts w:hint="eastAsia" w:ascii="Times New Roman" w:hAnsi="Times New Roman" w:eastAsia="方正楷体_GBK" w:cs="Times New Roman"/>
          <w:b w:val="0"/>
          <w:bCs/>
          <w:color w:val="000000"/>
          <w:kern w:val="36"/>
          <w:sz w:val="32"/>
          <w:szCs w:val="32"/>
          <w:highlight w:val="none"/>
          <w:lang w:val="en-US" w:eastAsia="zh-CN"/>
        </w:rPr>
        <w:t>6</w:t>
      </w:r>
      <w:r>
        <w:rPr>
          <w:rFonts w:hint="default" w:ascii="Times New Roman" w:hAnsi="Times New Roman" w:eastAsia="方正楷体_GBK" w:cs="Times New Roman"/>
          <w:b w:val="0"/>
          <w:bCs/>
          <w:color w:val="000000"/>
          <w:kern w:val="36"/>
          <w:sz w:val="32"/>
          <w:szCs w:val="32"/>
          <w:highlight w:val="none"/>
        </w:rPr>
        <w:t>年</w:t>
      </w:r>
      <w:r>
        <w:rPr>
          <w:rFonts w:hint="eastAsia" w:ascii="Times New Roman" w:hAnsi="Times New Roman" w:eastAsia="方正楷体_GBK" w:cs="Times New Roman"/>
          <w:b w:val="0"/>
          <w:bCs/>
          <w:color w:val="000000"/>
          <w:kern w:val="36"/>
          <w:sz w:val="32"/>
          <w:szCs w:val="32"/>
          <w:highlight w:val="none"/>
          <w:lang w:val="en-US" w:eastAsia="zh-CN"/>
        </w:rPr>
        <w:t>3</w:t>
      </w:r>
      <w:r>
        <w:rPr>
          <w:rFonts w:hint="default" w:ascii="Times New Roman" w:hAnsi="Times New Roman" w:eastAsia="方正楷体_GBK" w:cs="Times New Roman"/>
          <w:b w:val="0"/>
          <w:bCs/>
          <w:color w:val="000000"/>
          <w:kern w:val="36"/>
          <w:sz w:val="32"/>
          <w:szCs w:val="32"/>
          <w:highlight w:val="none"/>
        </w:rPr>
        <w:t>月</w:t>
      </w:r>
      <w:r>
        <w:rPr>
          <w:rFonts w:hint="eastAsia" w:ascii="Times New Roman" w:hAnsi="Times New Roman" w:eastAsia="方正楷体_GBK" w:cs="Times New Roman"/>
          <w:b w:val="0"/>
          <w:bCs/>
          <w:color w:val="000000"/>
          <w:kern w:val="36"/>
          <w:sz w:val="32"/>
          <w:szCs w:val="32"/>
          <w:highlight w:val="none"/>
          <w:lang w:val="en-US" w:eastAsia="zh-CN"/>
        </w:rPr>
        <w:t>13日</w:t>
      </w:r>
    </w:p>
    <w:p w14:paraId="1EE33D88">
      <w:pPr>
        <w:keepNext w:val="0"/>
        <w:keepLines w:val="0"/>
        <w:pageBreakBefore w:val="0"/>
        <w:widowControl/>
        <w:shd w:val="clear" w:color="auto" w:fill="FFFFFF"/>
        <w:kinsoku/>
        <w:wordWrap/>
        <w:overflowPunct/>
        <w:topLinePunct w:val="0"/>
        <w:autoSpaceDE/>
        <w:autoSpaceDN/>
        <w:bidi w:val="0"/>
        <w:adjustRightInd/>
        <w:snapToGrid/>
        <w:spacing w:before="435" w:beforeLines="150" w:after="210" w:line="240" w:lineRule="auto"/>
        <w:ind w:firstLine="424" w:firstLineChars="100"/>
        <w:jc w:val="both"/>
        <w:textAlignment w:val="auto"/>
        <w:outlineLvl w:val="1"/>
        <w:rPr>
          <w:rFonts w:hint="default" w:ascii="Times New Roman" w:hAnsi="Times New Roman" w:eastAsia="方正黑体_GBK" w:cs="Times New Roman"/>
          <w:b w:val="0"/>
          <w:bCs/>
          <w:color w:val="000000"/>
          <w:kern w:val="36"/>
          <w:sz w:val="24"/>
          <w:szCs w:val="24"/>
          <w:lang w:val="en-US" w:eastAsia="zh-CN"/>
        </w:rPr>
      </w:pPr>
      <w:r>
        <w:rPr>
          <w:rFonts w:hint="default" w:ascii="Times New Roman" w:hAnsi="Times New Roman" w:eastAsia="方正黑体_GBK" w:cs="Times New Roman"/>
          <w:b w:val="0"/>
          <w:bCs/>
          <w:color w:val="000000"/>
          <w:kern w:val="36"/>
          <w:sz w:val="44"/>
          <w:szCs w:val="44"/>
        </w:rPr>
        <w:t>目录</w:t>
      </w:r>
      <w:r>
        <w:rPr>
          <w:rFonts w:hint="default" w:ascii="Times New Roman" w:hAnsi="Times New Roman" w:eastAsia="方正黑体_GBK" w:cs="Times New Roman"/>
          <w:b w:val="0"/>
          <w:bCs/>
          <w:color w:val="000000"/>
          <w:kern w:val="36"/>
          <w:sz w:val="28"/>
          <w:szCs w:val="28"/>
          <w:lang w:val="en-US"/>
        </w:rPr>
        <w:t>CONTENTS</w:t>
      </w:r>
      <w:r>
        <w:rPr>
          <w:rFonts w:hint="default" w:ascii="Times New Roman" w:hAnsi="Times New Roman" w:eastAsia="方正黑体_GBK" w:cs="Times New Roman"/>
          <w:b w:val="0"/>
          <w:bCs/>
          <w:color w:val="000000"/>
          <w:kern w:val="36"/>
          <w:sz w:val="32"/>
          <w:szCs w:val="32"/>
          <w:lang w:val="en-US"/>
        </w:rPr>
        <w:t xml:space="preserve">  </w:t>
      </w:r>
      <w:r>
        <w:rPr>
          <w:rFonts w:hint="default" w:ascii="Times New Roman" w:hAnsi="Times New Roman" w:eastAsia="方正黑体_GBK" w:cs="Times New Roman"/>
          <w:b w:val="0"/>
          <w:bCs/>
          <w:color w:val="000000"/>
          <w:kern w:val="36"/>
          <w:sz w:val="24"/>
          <w:szCs w:val="24"/>
          <w:lang w:val="en-US" w:eastAsia="zh-CN"/>
        </w:rPr>
        <w:t>——————————————内部资料 免费赠阅</w:t>
      </w:r>
    </w:p>
    <w:p w14:paraId="5748581E">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FF0000"/>
          <w:kern w:val="36"/>
          <w:sz w:val="24"/>
          <w:szCs w:val="24"/>
          <w:lang w:val="en-US" w:eastAsia="zh-CN"/>
        </w:rPr>
      </w:pP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eastAsia" w:ascii="方正公文黑体" w:hAnsi="方正公文黑体" w:eastAsia="方正公文黑体" w:cs="方正公文黑体"/>
          <w:b w:val="0"/>
          <w:bCs/>
          <w:color w:val="1F497D"/>
          <w:kern w:val="36"/>
          <w:sz w:val="32"/>
          <w:szCs w:val="32"/>
          <w:lang w:val="en-US" w:eastAsia="zh-CN"/>
          <w14:textFill>
            <w14:solidFill>
              <w14:srgbClr w14:val="1F497D">
                <w14:lumMod w14:val="60000"/>
                <w14:lumOff w14:val="40000"/>
              </w14:srgbClr>
            </w14:solidFill>
          </w14:textFill>
        </w:rPr>
        <w:t>全球经贸分析</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w:t>
      </w: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w:t>
      </w:r>
      <w:r>
        <w:rPr>
          <w:rFonts w:hint="default" w:ascii="Times New Roman" w:hAnsi="Times New Roman" w:eastAsia="宋体" w:cs="Times New Roman"/>
          <w:b/>
          <w:color w:val="00B0F0"/>
          <w:kern w:val="36"/>
          <w:sz w:val="36"/>
          <w:szCs w:val="36"/>
          <w:lang w:val="en-US" w:eastAsia="zh-CN"/>
        </w:rPr>
        <w:t xml:space="preserve"> </w:t>
      </w:r>
      <w:r>
        <w:rPr>
          <w:rFonts w:hint="default" w:ascii="Times New Roman" w:hAnsi="Times New Roman" w:eastAsia="宋体" w:cs="Times New Roman"/>
          <w:b/>
          <w:color w:val="FF0000"/>
          <w:kern w:val="36"/>
          <w:sz w:val="24"/>
          <w:szCs w:val="24"/>
          <w:lang w:val="en-US" w:eastAsia="zh-CN"/>
        </w:rPr>
        <w:t>‧‧‧‧‧‧‧‧‧‧‧‧‧‧‧‧‧‧‧‧‧‧‧‧‧‧‧‧‧‧‧‧‧‧‧‧‧‧‧‧‧‧‧‧‧‧‧‧‧‧‧‧‧‧‧‧‧‧‧‧‧‧‧‧‧‧‧‧‧‧‧‧‧‧‧‧‧‧‧‧‧‧‧‧‧‧‧‧‧‧‧‧‧‧‧</w:t>
      </w:r>
    </w:p>
    <w:p w14:paraId="0B5D1FF9">
      <w:pPr>
        <w:keepNext w:val="0"/>
        <w:keepLines w:val="0"/>
        <w:pageBreakBefore w:val="0"/>
        <w:widowControl w:val="0"/>
        <w:kinsoku/>
        <w:wordWrap/>
        <w:overflowPunct/>
        <w:topLinePunct w:val="0"/>
        <w:autoSpaceDE/>
        <w:autoSpaceDN/>
        <w:bidi w:val="0"/>
        <w:adjustRightInd/>
        <w:snapToGrid/>
        <w:spacing w:line="580" w:lineRule="exact"/>
        <w:ind w:right="0" w:rightChars="0" w:firstLine="488" w:firstLineChars="200"/>
        <w:jc w:val="both"/>
        <w:textAlignment w:val="auto"/>
        <w:outlineLvl w:val="9"/>
        <w:rPr>
          <w:rFonts w:hint="default" w:ascii="Times New Roman" w:hAnsi="Times New Roman" w:eastAsia="方正楷体_GBK" w:cs="Times New Roman"/>
          <w:b/>
          <w:bCs w:val="0"/>
          <w:color w:val="auto"/>
          <w:spacing w:val="-20"/>
          <w:kern w:val="36"/>
          <w:sz w:val="30"/>
          <w:szCs w:val="30"/>
          <w:lang w:val="en-US" w:eastAsia="zh-CN"/>
        </w:rPr>
      </w:pPr>
      <w:r>
        <w:rPr>
          <w:rFonts w:hint="eastAsia" w:ascii="Times New Roman" w:hAnsi="Times New Roman" w:eastAsia="方正楷体_GBK" w:cs="Times New Roman"/>
          <w:b/>
          <w:color w:val="auto"/>
          <w:spacing w:val="-20"/>
          <w:kern w:val="36"/>
          <w:sz w:val="30"/>
          <w:szCs w:val="30"/>
          <w:lang w:val="en-US" w:eastAsia="zh-CN"/>
        </w:rPr>
        <w:t xml:space="preserve">白银跨市场价差失衡：套利机制断裂与认知模型重构  / </w:t>
      </w:r>
      <w:r>
        <w:rPr>
          <w:rFonts w:hint="eastAsia" w:ascii="Times New Roman" w:hAnsi="Times New Roman" w:eastAsia="方正楷体_GBK" w:cs="Times New Roman"/>
          <w:b/>
          <w:bCs w:val="0"/>
          <w:color w:val="auto"/>
          <w:spacing w:val="-20"/>
          <w:kern w:val="36"/>
          <w:sz w:val="30"/>
          <w:szCs w:val="30"/>
          <w:lang w:val="en-US" w:eastAsia="zh-CN"/>
        </w:rPr>
        <w:t>02</w:t>
      </w:r>
    </w:p>
    <w:p w14:paraId="10312D64">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488" w:firstLineChars="200"/>
        <w:contextualSpacing/>
        <w:jc w:val="both"/>
        <w:textAlignment w:val="auto"/>
        <w:outlineLvl w:val="1"/>
        <w:rPr>
          <w:rFonts w:hint="default" w:ascii="Times New Roman" w:hAnsi="Times New Roman" w:eastAsia="方正楷体_GBK" w:cs="Times New Roman"/>
          <w:b/>
          <w:bCs w:val="0"/>
          <w:color w:val="auto"/>
          <w:spacing w:val="-20"/>
          <w:kern w:val="36"/>
          <w:sz w:val="30"/>
          <w:szCs w:val="30"/>
          <w:lang w:val="en-US" w:eastAsia="zh-CN"/>
        </w:rPr>
      </w:pPr>
      <w:r>
        <w:rPr>
          <w:rFonts w:hint="eastAsia" w:ascii="Times New Roman" w:hAnsi="Times New Roman" w:eastAsia="方正楷体_GBK" w:cs="Times New Roman"/>
          <w:b/>
          <w:color w:val="auto"/>
          <w:spacing w:val="-20"/>
          <w:kern w:val="36"/>
          <w:sz w:val="30"/>
          <w:szCs w:val="30"/>
          <w:lang w:val="en-US" w:eastAsia="zh-CN"/>
        </w:rPr>
        <w:t>日元、日债与日本经济的十字路口  /</w:t>
      </w:r>
      <w:r>
        <w:rPr>
          <w:rFonts w:hint="eastAsia" w:ascii="Times New Roman" w:hAnsi="Times New Roman" w:eastAsia="方正楷体_GBK" w:cs="Times New Roman"/>
          <w:b/>
          <w:bCs w:val="0"/>
          <w:color w:val="auto"/>
          <w:spacing w:val="-20"/>
          <w:kern w:val="36"/>
          <w:sz w:val="30"/>
          <w:szCs w:val="30"/>
          <w:lang w:val="en-US" w:eastAsia="zh-CN"/>
        </w:rPr>
        <w:t xml:space="preserve"> 14</w:t>
      </w:r>
    </w:p>
    <w:p w14:paraId="121BC05F">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66"/>
        <w:contextualSpacing/>
        <w:jc w:val="both"/>
        <w:textAlignment w:val="auto"/>
        <w:outlineLvl w:val="1"/>
        <w:rPr>
          <w:rFonts w:hint="default" w:ascii="Times New Roman" w:hAnsi="Times New Roman" w:eastAsia="方正楷体_GBK" w:cs="Times New Roman"/>
          <w:b/>
          <w:color w:val="auto"/>
          <w:kern w:val="36"/>
          <w:sz w:val="30"/>
          <w:szCs w:val="30"/>
          <w:lang w:val="en-US" w:eastAsia="zh-CN"/>
        </w:rPr>
      </w:pPr>
      <w:r>
        <w:rPr>
          <w:rFonts w:hint="default" w:ascii="Times New Roman" w:hAnsi="Times New Roman" w:eastAsia="方正楷体_GBK" w:cs="Times New Roman"/>
          <w:b/>
          <w:color w:val="auto"/>
          <w:spacing w:val="-11"/>
          <w:kern w:val="36"/>
          <w:sz w:val="30"/>
          <w:szCs w:val="30"/>
          <w:lang w:val="en-US" w:eastAsia="zh-CN"/>
        </w:rPr>
        <w:t xml:space="preserve"> </w:t>
      </w:r>
      <w:bookmarkStart w:id="0" w:name="OLE_LINK12"/>
      <w:r>
        <w:rPr>
          <w:rFonts w:hint="eastAsia" w:ascii="Times New Roman" w:hAnsi="Times New Roman" w:eastAsia="方正楷体_GBK" w:cs="Times New Roman"/>
          <w:b/>
          <w:color w:val="auto"/>
          <w:spacing w:val="-11"/>
          <w:kern w:val="36"/>
          <w:sz w:val="30"/>
          <w:szCs w:val="30"/>
          <w:lang w:val="en-US" w:eastAsia="zh-CN"/>
        </w:rPr>
        <w:t xml:space="preserve"> </w:t>
      </w:r>
      <w:bookmarkEnd w:id="0"/>
    </w:p>
    <w:p w14:paraId="6B9B46C7">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宋体" w:cs="Times New Roman"/>
          <w:b/>
          <w:color w:val="FF0000"/>
          <w:kern w:val="36"/>
          <w:sz w:val="32"/>
          <w:szCs w:val="32"/>
          <w:lang w:val="en-US" w:eastAsia="zh-CN"/>
        </w:rPr>
      </w:pP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w:t>
      </w:r>
      <w:r>
        <w:rPr>
          <w:rFonts w:hint="eastAsia" w:ascii="方正公文黑体" w:hAnsi="方正公文黑体" w:eastAsia="方正公文黑体" w:cs="方正公文黑体"/>
          <w:b w:val="0"/>
          <w:bCs/>
          <w:color w:val="1F497D"/>
          <w:kern w:val="36"/>
          <w:sz w:val="32"/>
          <w:szCs w:val="32"/>
          <w:lang w:val="en-US" w:eastAsia="zh-CN"/>
          <w14:textFill>
            <w14:solidFill>
              <w14:srgbClr w14:val="1F497D">
                <w14:lumMod w14:val="60000"/>
                <w14:lumOff w14:val="40000"/>
              </w14:srgbClr>
            </w14:solidFill>
          </w14:textFill>
        </w:rPr>
        <w:t>会员企业风采</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 </w:t>
      </w:r>
      <w:r>
        <w:rPr>
          <w:rFonts w:hint="default" w:ascii="Times New Roman" w:hAnsi="Times New Roman" w:eastAsia="宋体" w:cs="Times New Roman"/>
          <w:b/>
          <w:color w:val="FF0000"/>
          <w:kern w:val="36"/>
          <w:sz w:val="32"/>
          <w:szCs w:val="32"/>
          <w:lang w:val="en-US" w:eastAsia="zh-CN"/>
        </w:rPr>
        <w:t>‧‧‧‧‧‧‧‧‧‧‧‧‧‧‧‧‧‧‧‧‧‧‧‧‧‧‧‧‧‧‧‧‧‧‧‧‧‧‧‧‧‧‧‧‧‧‧‧‧‧‧‧‧‧‧‧‧‧‧‧‧‧‧</w:t>
      </w:r>
    </w:p>
    <w:p w14:paraId="77C1FFD4">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66"/>
        <w:contextualSpacing/>
        <w:jc w:val="both"/>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绣娘丝绸荣获中国地理标志认证</w:t>
      </w:r>
      <w:r>
        <w:rPr>
          <w:rFonts w:hint="eastAsia" w:ascii="Times New Roman" w:hAnsi="Times New Roman" w:eastAsia="方正楷体_GBK" w:cs="方正楷体_GBK"/>
          <w:b/>
          <w:color w:val="auto"/>
          <w:spacing w:val="0"/>
          <w:kern w:val="36"/>
          <w:sz w:val="30"/>
          <w:szCs w:val="30"/>
          <w:lang w:val="en-US" w:eastAsia="zh-CN"/>
        </w:rPr>
        <w:t xml:space="preserve"> </w:t>
      </w:r>
      <w:r>
        <w:rPr>
          <w:rFonts w:hint="eastAsia" w:ascii="Times New Roman" w:hAnsi="Times New Roman" w:eastAsia="方正楷体_GBK" w:cs="Times New Roman"/>
          <w:b/>
          <w:color w:val="auto"/>
          <w:spacing w:val="0"/>
          <w:kern w:val="36"/>
          <w:sz w:val="30"/>
          <w:szCs w:val="30"/>
          <w:lang w:val="en-US" w:eastAsia="zh-CN"/>
        </w:rPr>
        <w:t>/ 26</w:t>
      </w:r>
    </w:p>
    <w:p w14:paraId="5ED6037D">
      <w:pPr>
        <w:keepNext w:val="0"/>
        <w:keepLines w:val="0"/>
        <w:pageBreakBefore w:val="0"/>
        <w:widowControl/>
        <w:kinsoku/>
        <w:wordWrap/>
        <w:overflowPunct/>
        <w:topLinePunct w:val="0"/>
        <w:autoSpaceDE/>
        <w:autoSpaceDN/>
        <w:bidi w:val="0"/>
        <w:adjustRightInd/>
        <w:snapToGrid/>
        <w:ind w:firstLine="568" w:firstLineChars="200"/>
        <w:textAlignment w:val="auto"/>
        <w:outlineLvl w:val="9"/>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乐美包装斩获三项殊荣</w:t>
      </w:r>
      <w:r>
        <w:rPr>
          <w:rFonts w:hint="eastAsia" w:ascii="Times New Roman" w:hAnsi="Times New Roman" w:eastAsia="方正楷体_GBK" w:cs="方正楷体_GBK"/>
          <w:b/>
          <w:color w:val="auto"/>
          <w:spacing w:val="0"/>
          <w:kern w:val="36"/>
          <w:sz w:val="30"/>
          <w:szCs w:val="30"/>
          <w:lang w:val="en-US" w:eastAsia="zh-CN"/>
        </w:rPr>
        <w:t xml:space="preserve"> </w:t>
      </w:r>
      <w:r>
        <w:rPr>
          <w:rFonts w:hint="eastAsia" w:ascii="Times New Roman" w:hAnsi="Times New Roman" w:eastAsia="方正楷体_GBK" w:cs="Times New Roman"/>
          <w:b/>
          <w:color w:val="auto"/>
          <w:spacing w:val="0"/>
          <w:kern w:val="36"/>
          <w:sz w:val="30"/>
          <w:szCs w:val="30"/>
          <w:lang w:val="en-US" w:eastAsia="zh-CN"/>
        </w:rPr>
        <w:t>/ 27</w:t>
      </w:r>
    </w:p>
    <w:p w14:paraId="085A8133">
      <w:pPr>
        <w:keepNext w:val="0"/>
        <w:keepLines w:val="0"/>
        <w:pageBreakBefore w:val="0"/>
        <w:widowControl/>
        <w:kinsoku/>
        <w:wordWrap/>
        <w:overflowPunct/>
        <w:topLinePunct w:val="0"/>
        <w:autoSpaceDE/>
        <w:autoSpaceDN/>
        <w:bidi w:val="0"/>
        <w:adjustRightInd/>
        <w:snapToGrid/>
        <w:ind w:firstLine="568" w:firstLineChars="200"/>
        <w:textAlignment w:val="auto"/>
        <w:outlineLvl w:val="9"/>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 xml:space="preserve">西派集团荣膺“国家级绿色工厂” / 28 </w:t>
      </w:r>
    </w:p>
    <w:p w14:paraId="302B3E09">
      <w:pPr>
        <w:keepNext w:val="0"/>
        <w:keepLines w:val="0"/>
        <w:pageBreakBefore w:val="0"/>
        <w:widowControl/>
        <w:kinsoku/>
        <w:wordWrap/>
        <w:overflowPunct/>
        <w:topLinePunct w:val="0"/>
        <w:autoSpaceDE/>
        <w:autoSpaceDN/>
        <w:bidi w:val="0"/>
        <w:adjustRightInd/>
        <w:snapToGrid/>
        <w:ind w:firstLine="524" w:firstLineChars="200"/>
        <w:textAlignment w:val="auto"/>
        <w:outlineLvl w:val="9"/>
        <w:rPr>
          <w:rFonts w:hint="default" w:ascii="Times New Roman" w:hAnsi="Times New Roman" w:eastAsia="方正楷体_GBK" w:cs="Times New Roman"/>
          <w:b/>
          <w:color w:val="auto"/>
          <w:spacing w:val="-11"/>
          <w:kern w:val="36"/>
          <w:sz w:val="30"/>
          <w:szCs w:val="30"/>
          <w:lang w:val="en-US" w:eastAsia="zh-CN"/>
        </w:rPr>
      </w:pPr>
    </w:p>
    <w:p w14:paraId="75C95EF9">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p>
    <w:p w14:paraId="19A7AC7D">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p>
    <w:p w14:paraId="3A6BEFA8">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全球</w:t>
      </w:r>
      <w:r>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经贸分析</w:t>
      </w:r>
    </w:p>
    <w:p w14:paraId="73C42F16">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p>
    <w:p w14:paraId="216C9C5C">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eastAsia" w:ascii="方正小标宋_GBK" w:hAnsi="方正小标宋_GBK" w:eastAsia="方正小标宋_GBK" w:cs="方正小标宋_GBK"/>
          <w:b/>
          <w:bCs/>
          <w:color w:val="2E75B6" w:themeColor="accent1" w:themeShade="BF"/>
          <w:sz w:val="44"/>
          <w:szCs w:val="44"/>
          <w:highlight w:val="none"/>
          <w:lang w:val="en-US" w:eastAsia="zh-CN"/>
        </w:rPr>
      </w:pPr>
      <w:r>
        <w:rPr>
          <w:rFonts w:hint="eastAsia" w:ascii="方正小标宋_GBK" w:hAnsi="方正小标宋_GBK" w:eastAsia="方正小标宋_GBK" w:cs="方正小标宋_GBK"/>
          <w:b/>
          <w:bCs/>
          <w:color w:val="2E75B6" w:themeColor="accent1" w:themeShade="BF"/>
          <w:sz w:val="44"/>
          <w:szCs w:val="44"/>
          <w:highlight w:val="none"/>
          <w:lang w:val="en-US" w:eastAsia="zh-CN"/>
        </w:rPr>
        <w:t>白银跨市场价差失衡：</w:t>
      </w:r>
    </w:p>
    <w:p w14:paraId="3C7B6AC1">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eastAsia" w:ascii="方正小标宋_GBK" w:hAnsi="方正小标宋_GBK" w:eastAsia="方正小标宋_GBK" w:cs="方正小标宋_GBK"/>
          <w:b w:val="0"/>
          <w:bCs w:val="0"/>
          <w:sz w:val="44"/>
          <w:szCs w:val="44"/>
          <w:lang w:eastAsia="zh-CN"/>
        </w:rPr>
      </w:pPr>
      <w:r>
        <w:rPr>
          <w:rFonts w:hint="eastAsia" w:ascii="方正小标宋_GBK" w:hAnsi="方正小标宋_GBK" w:eastAsia="方正小标宋_GBK" w:cs="方正小标宋_GBK"/>
          <w:b/>
          <w:bCs/>
          <w:color w:val="2E75B6" w:themeColor="accent1" w:themeShade="BF"/>
          <w:sz w:val="44"/>
          <w:szCs w:val="44"/>
          <w:highlight w:val="none"/>
          <w:lang w:val="en-US" w:eastAsia="zh-CN"/>
        </w:rPr>
        <w:t>套利机制断裂与认知模型重构</w:t>
      </w:r>
    </w:p>
    <w:p w14:paraId="02B9F028">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eastAsia" w:ascii="方正小标宋_GBK" w:hAnsi="方正小标宋_GBK" w:eastAsia="方正小标宋_GBK" w:cs="方正小标宋_GBK"/>
          <w:b w:val="0"/>
          <w:bCs w:val="0"/>
          <w:sz w:val="44"/>
          <w:szCs w:val="44"/>
          <w:lang w:eastAsia="zh-CN"/>
        </w:rPr>
      </w:pPr>
    </w:p>
    <w:p w14:paraId="1F8735F7">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2026年2月17日，纽约COMEX白银期货主力合约收盘于约74.55美元/金衡盎司。同一日，上海期货交易所（SHFE）沪银主力合约报价在19700–20000元/千克区间，按当日在岸人民币兑美元汇率约6.90</w:t>
      </w:r>
      <w:r>
        <w:rPr>
          <w:rFonts w:hint="default" w:ascii="Times New Roman" w:hAnsi="Times New Roman" w:eastAsia="方正仿宋_GBK" w:cs="Times New Roman"/>
          <w:b w:val="0"/>
          <w:bCs w:val="0"/>
          <w:sz w:val="30"/>
          <w:szCs w:val="30"/>
          <w:lang w:val="en-US"/>
        </w:rPr>
        <w:t>-</w:t>
      </w:r>
      <w:r>
        <w:rPr>
          <w:rFonts w:hint="eastAsia" w:ascii="Times New Roman" w:hAnsi="Times New Roman" w:eastAsia="方正仿宋_GBK" w:cs="Times New Roman"/>
          <w:b w:val="0"/>
          <w:bCs w:val="0"/>
          <w:sz w:val="30"/>
          <w:szCs w:val="30"/>
        </w:rPr>
        <w:t>6.91换算，折合国际价约89.00</w:t>
      </w:r>
      <w:r>
        <w:rPr>
          <w:rFonts w:hint="default" w:ascii="Times New Roman" w:hAnsi="Times New Roman" w:eastAsia="方正仿宋_GBK" w:cs="Times New Roman"/>
          <w:b w:val="0"/>
          <w:bCs w:val="0"/>
          <w:sz w:val="30"/>
          <w:szCs w:val="30"/>
          <w:lang w:val="en-US"/>
        </w:rPr>
        <w:t>-</w:t>
      </w:r>
      <w:r>
        <w:rPr>
          <w:rFonts w:hint="eastAsia" w:ascii="Times New Roman" w:hAnsi="Times New Roman" w:eastAsia="方正仿宋_GBK" w:cs="Times New Roman"/>
          <w:b w:val="0"/>
          <w:bCs w:val="0"/>
          <w:sz w:val="30"/>
          <w:szCs w:val="30"/>
        </w:rPr>
        <w:t>89.50美元/金衡盎司。</w:t>
      </w:r>
    </w:p>
    <w:p w14:paraId="5EEBB98F">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这意味着，上海白银较COMEX白银溢价高达14.5-15美元/盎司，折合人民币约100-105元/千克。</w:t>
      </w:r>
    </w:p>
    <w:p w14:paraId="1C2CAE7B">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理论上，这是一个近乎“无风险”的跨市场套利机会——在纽约低价买入实物白银（或通过期货锁定价格），运至上海高价卖出或交割，即可锁定巨额确定性收益。然而，现实是这一显著价差已持续近一年，且仍在扩大，几乎无人能有效套取。</w:t>
      </w:r>
    </w:p>
    <w:p w14:paraId="5B7DFF3F">
      <w:pPr>
        <w:keepNext w:val="0"/>
        <w:keepLines w:val="0"/>
        <w:pageBreakBefore w:val="0"/>
        <w:widowControl w:val="0"/>
        <w:kinsoku/>
        <w:wordWrap/>
        <w:overflowPunct/>
        <w:topLinePunct w:val="0"/>
        <w:autoSpaceDE/>
        <w:autoSpaceDN/>
        <w:bidi w:val="0"/>
        <w:adjustRightInd/>
        <w:snapToGrid/>
        <w:ind w:firstLine="568" w:firstLineChars="200"/>
        <w:textAlignment w:val="auto"/>
        <w:rPr>
          <w:rFonts w:hint="eastAsia"/>
          <w:b/>
          <w:bCs/>
          <w:color w:val="0000FF"/>
          <w:sz w:val="30"/>
          <w:szCs w:val="30"/>
        </w:rPr>
      </w:pPr>
      <w:r>
        <w:rPr>
          <w:rFonts w:hint="eastAsia" w:ascii="方正黑体_GBK" w:hAnsi="方正黑体_GBK" w:eastAsia="方正黑体_GBK" w:cs="方正黑体_GBK"/>
          <w:b w:val="0"/>
          <w:bCs w:val="0"/>
          <w:color w:val="auto"/>
          <w:sz w:val="30"/>
          <w:szCs w:val="30"/>
        </w:rPr>
        <w:t>一、理论预期与现实封堵</w:t>
      </w:r>
    </w:p>
    <w:p w14:paraId="06801545">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在经典金融理论和商品市场设计中，同一资产在不同地域、不同交易所的价格应当通过套利机制迅速趋同。这背后的底层逻辑可以用物理学中的“连通器原理”来类比：两个装有相同液体的容器，只要底部通过一根管道连通，无论初始水位差异多大，水都会自动从高水位一侧流向低水位一侧，直至两侧水位完全平衡，且这一平衡过程通常摩擦极小、效率极高。</w:t>
      </w:r>
    </w:p>
    <w:p w14:paraId="1765D340">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应用于白银市场，纽约商品交易所（COMEX）和上海期货交易所（SHFE）本质上是两个“水池”，里面的“水”都是白银（或白银的标准化权利）。当上海价格显著高于纽约（相当于高水位），理论上理性套利者可以在COMEX低价买入白银期货（或进一步提取实物），然后通过在SHFE高价卖出合约或完成实物交割的方式锁定价差收益。</w:t>
      </w:r>
    </w:p>
    <w:p w14:paraId="7A01C40D">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只要运输、关税、仓储、资金成本等交易成本明显低于价差本身，这一“管道”就应当持续流动，直到价差被压缩至接近零——通常只剩物流加资金成本的微薄水平，历史上长期维持在1-3美元/盎司以内。</w:t>
      </w:r>
    </w:p>
    <w:p w14:paraId="25B23638">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换言之，在正常、可连通的市场环境中，如此巨大的跨市场价差根本不可能长期存在——它会被套利资金像水流一样迅速抹平。这正是过去几十年全球大宗商品市场最基础、最可靠的自我调节机制。</w:t>
      </w:r>
    </w:p>
    <w:p w14:paraId="621B264E">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然而，2025年以来，这一“连通器管道”出现了实质性断裂。套利机制失效，并不是因为市场参与者不够聪明，而是因为连接两个水池的管道本身被封堵，甚至根本不存在了。</w:t>
      </w:r>
    </w:p>
    <w:p w14:paraId="677DA5A7">
      <w:pPr>
        <w:keepNext w:val="0"/>
        <w:keepLines w:val="0"/>
        <w:pageBreakBefore w:val="0"/>
        <w:widowControl w:val="0"/>
        <w:kinsoku/>
        <w:wordWrap/>
        <w:overflowPunct/>
        <w:topLinePunct w:val="0"/>
        <w:autoSpaceDE/>
        <w:autoSpaceDN/>
        <w:bidi w:val="0"/>
        <w:adjustRightInd/>
        <w:snapToGrid/>
        <w:ind w:firstLine="568" w:firstLineChars="200"/>
        <w:textAlignment w:val="auto"/>
        <w:rPr>
          <w:rFonts w:hint="eastAsia" w:ascii="方正黑体_GBK" w:hAnsi="方正黑体_GBK" w:eastAsia="方正黑体_GBK" w:cs="方正黑体_GBK"/>
          <w:b w:val="0"/>
          <w:bCs w:val="0"/>
          <w:color w:val="auto"/>
          <w:sz w:val="30"/>
          <w:szCs w:val="30"/>
        </w:rPr>
      </w:pPr>
      <w:r>
        <w:rPr>
          <w:rFonts w:hint="eastAsia" w:ascii="方正黑体_GBK" w:hAnsi="方正黑体_GBK" w:eastAsia="方正黑体_GBK" w:cs="方正黑体_GBK"/>
          <w:b w:val="0"/>
          <w:bCs w:val="0"/>
          <w:color w:val="auto"/>
          <w:sz w:val="30"/>
          <w:szCs w:val="30"/>
        </w:rPr>
        <w:t>二、封堵管道的三大结构性障碍</w:t>
      </w:r>
    </w:p>
    <w:p w14:paraId="710DDF90">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bCs/>
          <w:sz w:val="30"/>
          <w:szCs w:val="30"/>
        </w:rPr>
      </w:pPr>
      <w:r>
        <w:rPr>
          <w:rFonts w:hint="eastAsia" w:ascii="方正楷体_GB2312" w:hAnsi="方正楷体_GB2312" w:eastAsia="方正楷体_GB2312" w:cs="方正楷体_GB2312"/>
          <w:b w:val="0"/>
          <w:bCs w:val="0"/>
          <w:sz w:val="30"/>
          <w:szCs w:val="30"/>
        </w:rPr>
        <w:t>障碍一，刚性工业硬需求</w:t>
      </w:r>
    </w:p>
    <w:p w14:paraId="1C67792E">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中国作为全球最大白银工业消费国，其光伏、电子、AI制造等领域消耗约40－50%的全球白银供给，需求呈现近零弹性。上述行业的企业，其签订的长单交付合同违约成本极高，而白银在光伏银浆等关键环节仅占总成本10%左右，即使银价翻倍，对整体生产成本冲击有限。因此，产业资本不计代价买入实物白银，用于保障生产线连续运转。这与COMEX参与者的动机形成鲜明对比，后者多为金融资本，通过做空赚取价差或对冲波动。换言之，上海期货交易所的参与者核心诉求是“生产存续”，而COMEX的参与者核心诉求是“价差收益”。当实物短缺时，产业资本的刚性买入终将主导定价，金融空头无论杠杆多高，都难以压制真实需求。这正是价差持续扩大的核心引擎。</w:t>
      </w:r>
    </w:p>
    <w:p w14:paraId="32DEC137">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bCs/>
          <w:sz w:val="30"/>
          <w:szCs w:val="30"/>
        </w:rPr>
      </w:pPr>
      <w:r>
        <w:rPr>
          <w:rFonts w:hint="eastAsia" w:ascii="方正楷体_GB2312" w:hAnsi="方正楷体_GB2312" w:eastAsia="方正楷体_GB2312" w:cs="方正楷体_GB2312"/>
          <w:b w:val="0"/>
          <w:bCs w:val="0"/>
          <w:sz w:val="30"/>
          <w:szCs w:val="30"/>
        </w:rPr>
        <w:t>障碍二，监管单行道与进出口双重管制</w:t>
      </w:r>
    </w:p>
    <w:p w14:paraId="2C062A11">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白银进口需获得许可证，主要由少数国有银行和大型贸易商持有。虽然国家未全面限制白银进口，但通过许可证审批机制定向优先保障工业和战略需求，严格控制套利性进口通道。这并非为了限制进口总量，而是出于以下原因：一方面，确保有限的外汇资源优先用于实体工业采购，满足制造业刚需，同时防范纯金融套利导致外汇外流；另一方面，避免大量低价进口实物被投机者扭曲流向——如果完全放开，套利资金可能低价进口后先囤积或加价转卖给工厂，制造短期现货更紧张的假象，抬高工业企业实际采购成本并扰乱市场定价。因此，光伏等工业巨头申请配额相对容易获批，而纯套利性质的国际贸易商几乎无法通过审批。</w:t>
      </w:r>
    </w:p>
    <w:p w14:paraId="01CECBC6">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同时，2025年底商务部发布公告（2025年第68号、第69号），自2026年1月1日起，对白银出口实施严格的出口许可证管理（升级为“一单一审”制度），取代以往配额制。2026-2027年度获批白银出口国营贸易企业名单显示，仅有44家企业（较2025年增加2家）获得资质，需满足年产80吨以上（西部地区40吨以上）、连续3年出口实绩、ISO认证等硬门槛。这一出口端管控旨在保护国内供给不外流，确保白银优先服务光伏、电子、AI等国家战略产业，预计将大幅减少全球白银出口量（约4500-5000吨/年），进一步收紧国际供给。</w:t>
      </w:r>
    </w:p>
    <w:p w14:paraId="420CAA30">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即使在COMEX低价买入实物后运抵中国，也难以快速获得清关许可并进入国内市场高价卖出。更关键的是，套利回款涉及人民币换汇及跨境划转，在资本管制环境下同样受阻。这导致上海市场形成“孤岛效应”——价格完全由国内生产供给与工业硬需求决定，与COMEX彻底脱钩。即使存在巨额价差，绝大多数国际套利者也无法有效打通“进口管道”。</w:t>
      </w:r>
    </w:p>
    <w:p w14:paraId="07BCFA98">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方正楷体_GB2312" w:hAnsi="方正楷体_GB2312" w:eastAsia="方正楷体_GB2312" w:cs="方正楷体_GB2312"/>
          <w:b w:val="0"/>
          <w:bCs w:val="0"/>
          <w:sz w:val="30"/>
          <w:szCs w:val="30"/>
        </w:rPr>
        <w:t>障碍三，对真实库存的系统性误判</w:t>
      </w:r>
    </w:p>
    <w:p w14:paraId="2A566616">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COMEX官方公布的总库存数据（Eligible + Registered）常被市场严重误读，其数值通常维持在3.8亿至4.1亿盎司区间，看似供给极为充裕。这让多数套利者产生一种致命幻觉：“只要存在价差，就能轻松从COMEX提取实物运往上海套利。”然而，这恰恰是当前最大的认知陷阱——总库存并不等于可立即交割的有效供给。</w:t>
      </w:r>
    </w:p>
    <w:p w14:paraId="1EFE88C7">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打个简单比方：COMEX仓库就像一座大型银行金库，里面存放着两类截然不同的白银：</w:t>
      </w:r>
    </w:p>
    <w:p w14:paraId="2806914E">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lang w:eastAsia="zh-CN"/>
        </w:rPr>
        <w:t>其一，</w:t>
      </w:r>
      <w:r>
        <w:rPr>
          <w:rFonts w:hint="eastAsia" w:ascii="Times New Roman" w:hAnsi="Times New Roman" w:eastAsia="方正仿宋_GBK" w:cs="Times New Roman"/>
          <w:b w:val="0"/>
          <w:bCs w:val="0"/>
          <w:sz w:val="30"/>
          <w:szCs w:val="30"/>
        </w:rPr>
        <w:t>Eligible银条（符合交割标准但属私人财产）：相当于锁在“私人保险箱”里的银条，属于银行、ETF基金、大型机构或私人持有者。虽然它们物理上存放在仓库，也符合纯度规格，但所有者未授权交易所出售或用于期货交割，因此“可见但不可得”。</w:t>
      </w:r>
    </w:p>
    <w:p w14:paraId="10AB56F3">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lang w:eastAsia="zh-CN"/>
        </w:rPr>
        <w:t>其二，</w:t>
      </w:r>
      <w:r>
        <w:rPr>
          <w:rFonts w:hint="eastAsia" w:ascii="Times New Roman" w:hAnsi="Times New Roman" w:eastAsia="方正仿宋_GBK" w:cs="Times New Roman"/>
          <w:b w:val="0"/>
          <w:bCs w:val="0"/>
          <w:sz w:val="30"/>
          <w:szCs w:val="30"/>
        </w:rPr>
        <w:t>Registered仓单（已注册、可立即交割）：才是真正的“货架商品”。这些银条已被所有者挂单出售，随时可用于期货合约的实物交割，是市场唯一有效的可交割供给。</w:t>
      </w:r>
    </w:p>
    <w:p w14:paraId="772BEA38">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截至2026年2月中旬（最新2月11日数据），Registered库存已跌破关键心理关口——从年初的1亿多盎司快速降至约9810万盎司（单日减少325万多盎司），且下降趋势仍在持续。与此同时，总库存虽仍有约3.86亿至4.11亿盎司，但其中70-80%是Eligible银条，属于“保险箱”里的私人财产，无法快速转化为货架供给。</w:t>
      </w:r>
    </w:p>
    <w:p w14:paraId="20D718B7">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过去几十年，市场早已习惯Eligible银条可以轻松转为Registered仓单（只需所有者签字，通常24-48小时即可完成），因此把总库存当成“近乎无限的后备”。但2025年以来，中国光伏、电子、AI等工业买家持续从全球大量吸纳实物白银，COMEX的Registered仓单被快速掏空：仅2026年1月就移出近5000万盎司，2月初几天又面临近1900万盎司的出库请求。Eligible银条虽数量庞大，但转化速度根本跟不上提取速度，许多持有者也不愿在当前高价下让出实物。</w:t>
      </w:r>
    </w:p>
    <w:p w14:paraId="09488129">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结果就是，任何试图从纽约低价买入实物、运往上海赚取14-15美元价差的套利者，很快就会撞上“无银可提”的铁壁。他们可能顺利买到期货合约，但在提取实物环节却发现Registered仓单已所剩无几，而Eligible银条又无法及时转出。这不是供给总量不足，而是有效可交割供给的彻底枯竭——市场把“保险箱里的私人财产”当成了“随时可卖的货架”，最终让整个套利行为从源头就无法启动。</w:t>
      </w:r>
    </w:p>
    <w:p w14:paraId="103D0349">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三大障碍（刚性工业硬需求、监管单行道、库存误判）相互强化，形成了一个难以打破的恶性循环。</w:t>
      </w:r>
    </w:p>
    <w:p w14:paraId="2EF85B28">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首先，中国作为全球最大的白银工业消费国，其制造业部门对实物白银的刚性需求持续从全球市场吸纳库存，这直接推高了上海本地实物白银的价格，同时加速了COMEX Registered库存的流失——全球可交割供给正快速向东方倾斜。</w:t>
      </w:r>
    </w:p>
    <w:p w14:paraId="2A12F678">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其次，由于上海价格显著高于COMEX，跨市场价差持续扩大，本应吸引套利资金介入。但监管单行道（进出口双重管制</w:t>
      </w:r>
      <w:r>
        <w:rPr>
          <w:rFonts w:hint="eastAsia" w:ascii="Times New Roman" w:hAnsi="Times New Roman" w:eastAsia="方正仿宋_GBK" w:cs="Times New Roman"/>
          <w:b w:val="0"/>
          <w:bCs w:val="0"/>
          <w:sz w:val="30"/>
          <w:szCs w:val="30"/>
          <w:lang w:eastAsia="zh-CN"/>
        </w:rPr>
        <w:t>加</w:t>
      </w:r>
      <w:r>
        <w:rPr>
          <w:rFonts w:hint="eastAsia" w:ascii="Times New Roman" w:hAnsi="Times New Roman" w:eastAsia="方正仿宋_GBK" w:cs="Times New Roman"/>
          <w:b w:val="0"/>
          <w:bCs w:val="0"/>
          <w:sz w:val="30"/>
          <w:szCs w:val="30"/>
        </w:rPr>
        <w:t>资本管制）进一步阻断了国际套利管道：即使有人在COMEX低价买入实物，也难以顺利运入中国完成高价卖出，回款换汇和跨境划转同样受阻。</w:t>
      </w:r>
    </w:p>
    <w:p w14:paraId="555F4E3C">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结果是，经典的套利机制无法发挥作用，价差无法被有效抹平，上海的价格维持在高位。这种高价差反过来强化了国内工业刚需的定价主导地位，同时加剧了COMEX Registered库存的枯竭压力，形成闭环。</w:t>
      </w:r>
    </w:p>
    <w:p w14:paraId="446D06D9">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上海的高溢价虽持续吸引全球实物流向东方，却被进口许可证这一定向闸门牢牢把控：工业刚需的白银得以优先进入，而套利性质的跨境流动则被系统性封堵。由此，实物持续流入实体生产线，价差却无法被抹平，上海实物银价格彻底独立于西方“纸白银”体系运行。</w:t>
      </w:r>
    </w:p>
    <w:p w14:paraId="30AB6287">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经典套利机制不再是“水流自动平衡”，而是被物理需求、政策管制、库存现实三重闸门死死堵住，导致市场分割加剧。</w:t>
      </w:r>
    </w:p>
    <w:p w14:paraId="47A9AB0C">
      <w:pPr>
        <w:keepNext w:val="0"/>
        <w:keepLines w:val="0"/>
        <w:pageBreakBefore w:val="0"/>
        <w:widowControl w:val="0"/>
        <w:kinsoku/>
        <w:wordWrap/>
        <w:overflowPunct/>
        <w:topLinePunct w:val="0"/>
        <w:autoSpaceDE/>
        <w:autoSpaceDN/>
        <w:bidi w:val="0"/>
        <w:adjustRightInd/>
        <w:snapToGrid/>
        <w:ind w:firstLine="568" w:firstLineChars="200"/>
        <w:textAlignment w:val="auto"/>
        <w:rPr>
          <w:rFonts w:hint="eastAsia" w:ascii="黑体" w:hAnsi="黑体" w:eastAsia="黑体" w:cs="黑体"/>
          <w:b/>
          <w:bCs/>
          <w:color w:val="0000FF"/>
          <w:sz w:val="30"/>
          <w:szCs w:val="30"/>
        </w:rPr>
      </w:pPr>
      <w:r>
        <w:rPr>
          <w:rFonts w:hint="eastAsia" w:ascii="方正黑体_GBK" w:hAnsi="方正黑体_GBK" w:eastAsia="方正黑体_GBK" w:cs="方正黑体_GBK"/>
          <w:b w:val="0"/>
          <w:bCs w:val="0"/>
          <w:color w:val="auto"/>
          <w:sz w:val="30"/>
          <w:szCs w:val="30"/>
        </w:rPr>
        <w:t>三、底层机制：两大设计基础的动摇</w:t>
      </w:r>
    </w:p>
    <w:p w14:paraId="06D1A8B7">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要真正理解为什么刚性工业硬需求、监管单行道与库存误判这三大障碍能够同时出现并长期共存，我们必须回归白银市场乃至整个大宗商品期货体系最底层的两大设计基础。这两大基础一旦发生结构性动摇，整个跨市场定价机制就会从“连续可套利”转向“分割与断裂”。</w:t>
      </w:r>
    </w:p>
    <w:p w14:paraId="720E4D32">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bCs/>
          <w:sz w:val="30"/>
          <w:szCs w:val="30"/>
        </w:rPr>
      </w:pPr>
      <w:r>
        <w:rPr>
          <w:rFonts w:hint="eastAsia" w:ascii="方正楷体_GB2312" w:hAnsi="方正楷体_GB2312" w:eastAsia="方正楷体_GB2312" w:cs="方正楷体_GB2312"/>
          <w:b w:val="0"/>
          <w:bCs w:val="0"/>
          <w:sz w:val="30"/>
          <w:szCs w:val="30"/>
        </w:rPr>
        <w:t>基础一，部分准备金契约——纸白银的无限流动性假设</w:t>
      </w:r>
    </w:p>
    <w:p w14:paraId="6A3C3CA2">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现代期货市场，尤其是COMEX白银期货，运行的核心机制是“部分准备金制度”。这意味着交易所并不需要为每一张流通的纸白银合约都持有等量的实物白银在仓库里。通常情况下，通常1盎司实物可支撑数十至上百倍的纸合约流通交易，只要绝大多数合约持有者选择现金结算或展期，而非要求实物交割，这套体系就能高效运转。</w:t>
      </w:r>
    </w:p>
    <w:p w14:paraId="38E364A8">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它的优势显而易见：极大提升了市场流动性，降低了交易成本，让价格发现更迅速，也让金融参与者（投机者、对冲基金、ETF等）可以轻松进出市场，而无需真正触碰物理金属。这也是为什么过去几十年，白银价格主要由“纸白银”的供需决定，而不是实物库存的绝对稀缺。</w:t>
      </w:r>
    </w:p>
    <w:p w14:paraId="534779A6">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然而，这一假设有一个隐含的临界条件：市场参与者必须持续相信手中的纸合约（期货、ETF份额、银行凭证）在需要时能够兑换成实物。如果这种信任崩塌——即大量持有者同时要求实物交割，或市场普遍认为“纸白银已无法兑现实物”——整个部分准备金体系就会面临系统性挤兑风险。</w:t>
      </w:r>
    </w:p>
    <w:p w14:paraId="4A49A78A">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2025年以来，中国工业买家不计成本从全球吸纳实物，COMEX Registered库存快速下降，正是这种信任开始动摇的信号。纸白银的无限扩张遇到了实物世界的硬约束，定价逻辑从“金融流动性主导”转向“实物稀缺主导”。</w:t>
      </w:r>
    </w:p>
    <w:p w14:paraId="010DBA6B">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楷体_GB2312" w:hAnsi="方正楷体_GB2312" w:eastAsia="方正楷体_GB2312" w:cs="方正楷体_GB2312"/>
          <w:b w:val="0"/>
          <w:bCs w:val="0"/>
          <w:sz w:val="30"/>
          <w:szCs w:val="30"/>
        </w:rPr>
      </w:pPr>
      <w:r>
        <w:rPr>
          <w:rFonts w:hint="eastAsia" w:ascii="方正楷体_GB2312" w:hAnsi="方正楷体_GB2312" w:eastAsia="方正楷体_GB2312" w:cs="方正楷体_GB2312"/>
          <w:b w:val="0"/>
          <w:bCs w:val="0"/>
          <w:sz w:val="30"/>
          <w:szCs w:val="30"/>
        </w:rPr>
        <w:t>基础二，连通器原理——全球套利管道的畅通假设</w:t>
      </w:r>
    </w:p>
    <w:p w14:paraId="21B079D8">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第二个基础是整个全球商品市场的自我调节机制——连通器原理。即，不同市场的价格差异本应通过套利管道（买入低价市场、卖出高价市场）自动抹平，其前提是管道必须畅通。畅通需要满足三个关键条件：</w:t>
      </w:r>
    </w:p>
    <w:p w14:paraId="2A26E2E0">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其一，可获取性。能在低价市场实际提取到实物（而非仅停留在纸合约层面）。</w:t>
      </w:r>
    </w:p>
    <w:p w14:paraId="5591AE70">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其二，可转移性。实物可以顺利跨国运输、清关，并进入高价市场完成交割。</w:t>
      </w:r>
    </w:p>
    <w:p w14:paraId="195119BE">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其三，可交易性。运输、关税、仓储、资金、时间等交易成本远低于价差本身。</w:t>
      </w:r>
    </w:p>
    <w:p w14:paraId="4453AB00">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当这三个条件同时被打破时，连通器就不再是“水流自动平衡”，而是被多重闸门阻断。当前白银市场的现实是：可获取性受COMEX Registered库存枯竭限制；可转移性受中国进出口管制、外汇资本管制、物流时间与成本限制；而可交易性，则因刚需驱动的极高价差与市场情绪剧烈波动而风险急剧放大。</w:t>
      </w:r>
    </w:p>
    <w:p w14:paraId="40E5BCDD">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上述两大基础的动摇并非孤立事件，而是形成了一个相互强化的反馈循环。</w:t>
      </w:r>
    </w:p>
    <w:p w14:paraId="08CC444D">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一方面，部分准备金制度的信任危机直接引发了实物白银加速从COMEX流出。当市场参与者开始质疑纸合约能否真正兑现实物时，持有者更倾向于提取实物或转向其他形式持有，导致Registered库存快速下降。这使得基础一（部分准备金的流动性假设）开始失效。</w:t>
      </w:r>
    </w:p>
    <w:p w14:paraId="3F7EF4EF">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另一方面，西方纸白银价格越来越脱离物理现实，而东方实物价格被刚需牢牢支撑。这使得监管单行道与资本管制的作用更加显著——原本可能通过套利回流的管道被进一步切断，从而加速了基础二（连通器原理与全球套利管道畅通假设）的失效。即，上海价格不会因为COMEX低价而回落，反而因为实物短缺和套利被堵，站稳在更高位或继续拉大溢价——因为没有足够的套利力量来“拉低”它。</w:t>
      </w:r>
    </w:p>
    <w:p w14:paraId="1E58B14F">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简单来说，当金融世界的流动性假设遭遇物理世界的硬约束时，两大基础的动摇会相互放大，形成一个自我强化的恶性循环，最终导致跨市场套利机制从“自动修复”转向“堵塞或断裂”。要适应当前这种极端环境，需要从最基础的角度重新审视市场，而不是继续依赖过去的理论和经验。</w:t>
      </w:r>
    </w:p>
    <w:p w14:paraId="6B4E3374">
      <w:pPr>
        <w:keepNext w:val="0"/>
        <w:keepLines w:val="0"/>
        <w:pageBreakBefore w:val="0"/>
        <w:widowControl w:val="0"/>
        <w:kinsoku/>
        <w:wordWrap/>
        <w:overflowPunct/>
        <w:topLinePunct w:val="0"/>
        <w:autoSpaceDE/>
        <w:autoSpaceDN/>
        <w:bidi w:val="0"/>
        <w:adjustRightInd/>
        <w:snapToGrid/>
        <w:ind w:firstLine="568" w:firstLineChars="200"/>
        <w:textAlignment w:val="auto"/>
        <w:rPr>
          <w:rFonts w:hint="eastAsia"/>
          <w:sz w:val="30"/>
          <w:szCs w:val="30"/>
        </w:rPr>
      </w:pPr>
      <w:r>
        <w:rPr>
          <w:sz w:val="30"/>
          <w:szCs w:val="30"/>
        </w:rPr>
        <w:drawing>
          <wp:inline distT="0" distB="0" distL="114300" distR="114300">
            <wp:extent cx="4060190" cy="3070225"/>
            <wp:effectExtent l="0" t="0" r="16510"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060190" cy="3070225"/>
                    </a:xfrm>
                    <a:prstGeom prst="rect">
                      <a:avLst/>
                    </a:prstGeom>
                    <a:noFill/>
                    <a:ln>
                      <a:noFill/>
                    </a:ln>
                  </pic:spPr>
                </pic:pic>
              </a:graphicData>
            </a:graphic>
          </wp:inline>
        </w:drawing>
      </w:r>
    </w:p>
    <w:p w14:paraId="2E731719">
      <w:pPr>
        <w:keepNext w:val="0"/>
        <w:keepLines w:val="0"/>
        <w:pageBreakBefore w:val="0"/>
        <w:widowControl w:val="0"/>
        <w:kinsoku/>
        <w:wordWrap/>
        <w:overflowPunct/>
        <w:topLinePunct w:val="0"/>
        <w:autoSpaceDE/>
        <w:autoSpaceDN/>
        <w:bidi w:val="0"/>
        <w:adjustRightInd/>
        <w:snapToGrid/>
        <w:ind w:firstLine="568" w:firstLineChars="200"/>
        <w:textAlignment w:val="auto"/>
        <w:rPr>
          <w:rFonts w:hint="eastAsia" w:ascii="黑体" w:hAnsi="黑体" w:eastAsia="黑体" w:cs="黑体"/>
          <w:b/>
          <w:bCs/>
          <w:color w:val="0000FF"/>
          <w:sz w:val="30"/>
          <w:szCs w:val="30"/>
        </w:rPr>
      </w:pPr>
      <w:r>
        <w:rPr>
          <w:rFonts w:hint="eastAsia" w:ascii="方正黑体_GBK" w:hAnsi="方正黑体_GBK" w:eastAsia="方正黑体_GBK" w:cs="方正黑体_GBK"/>
          <w:b w:val="0"/>
          <w:bCs w:val="0"/>
          <w:color w:val="auto"/>
          <w:sz w:val="30"/>
          <w:szCs w:val="30"/>
        </w:rPr>
        <w:t>四、认知升级：两个原则与三条铁律</w:t>
      </w:r>
    </w:p>
    <w:p w14:paraId="1E39915C">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bCs/>
          <w:sz w:val="30"/>
          <w:szCs w:val="30"/>
        </w:rPr>
      </w:pPr>
      <w:r>
        <w:rPr>
          <w:rFonts w:hint="eastAsia" w:ascii="Times New Roman" w:hAnsi="Times New Roman" w:eastAsia="方正仿宋_GBK" w:cs="Times New Roman"/>
          <w:b/>
          <w:bCs/>
          <w:sz w:val="30"/>
          <w:szCs w:val="30"/>
        </w:rPr>
        <w:t>首先，价格只是影子，实物才是本体。</w:t>
      </w:r>
    </w:p>
    <w:p w14:paraId="15AA9E20">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过去几十年，白银的期货价格、ETF报价、屏幕上的K线图，一直被当成“真实的市场”。大家以为屏幕上的数字涨跌，就能代表实物白银的供需变化。但现在情况变了：屏幕显示的COMEX价格只是“影子”，而真正决定一切的是物理世界里的实物——仓库里的银条、生产线上的银浆、光伏工厂急需的原料。</w:t>
      </w:r>
    </w:p>
    <w:p w14:paraId="2D0EC70D">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当上海保税区或工厂普遍缺货、工业买家不惜代价抢实物时，COMEX的低价数据已经失去了指导意义。它只是金融世界的投影，而不是真实供给的反映。继续盯着屏幕做“超买回调”的判断，只会反复踩坑。正确的做法是先问：实物到底在哪里？谁真正拿着货？需求有多刚性？影子再漂亮，也改变不了本体的稀缺。</w:t>
      </w:r>
    </w:p>
    <w:p w14:paraId="791629A4">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bCs/>
          <w:sz w:val="30"/>
          <w:szCs w:val="30"/>
        </w:rPr>
      </w:pPr>
      <w:r>
        <w:rPr>
          <w:rFonts w:hint="eastAsia" w:ascii="Times New Roman" w:hAnsi="Times New Roman" w:eastAsia="方正仿宋_GBK" w:cs="Times New Roman"/>
          <w:b/>
          <w:bCs/>
          <w:sz w:val="30"/>
          <w:szCs w:val="30"/>
        </w:rPr>
        <w:t>其次，市场的变化不是线性的，会突然加速。</w:t>
      </w:r>
    </w:p>
    <w:p w14:paraId="7EE8D8DB">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大多数人习惯用线性思维看市场：价格涨多了就该跌，跌多了就该涨，像水温慢慢升降。但真实市场更像水烧开的过程——99℃时还算平静，再加1℃就瞬间沸腾，体积暴增、剧烈翻滚。</w:t>
      </w:r>
    </w:p>
    <w:p w14:paraId="77C8CE55">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白银市场过去几年就是这样：COMEX可交割库存从2亿慢慢降到1亿时，价格波动还算温和，套利还能勉强运作。但一旦跌破关键门槛（比如1亿盎司以下，最近已到9800万盎司以下），市场突然变脸：流动性瞬间干涸、恐慌性提取、逼空行情垂直拉升。技术指标，如RSI、布林带等，在这种</w:t>
      </w:r>
      <w:r>
        <w:rPr>
          <w:rFonts w:hint="eastAsia" w:ascii="Times New Roman" w:hAnsi="Times New Roman" w:eastAsia="方正仿宋_GBK" w:cs="Times New Roman"/>
          <w:b w:val="0"/>
          <w:bCs w:val="0"/>
          <w:sz w:val="30"/>
          <w:szCs w:val="30"/>
          <w:lang w:eastAsia="zh-CN"/>
        </w:rPr>
        <w:t>加速</w:t>
      </w:r>
      <w:r>
        <w:rPr>
          <w:rFonts w:hint="eastAsia" w:ascii="Times New Roman" w:hAnsi="Times New Roman" w:eastAsia="方正仿宋_GBK" w:cs="Times New Roman"/>
          <w:b w:val="0"/>
          <w:bCs w:val="0"/>
          <w:sz w:val="30"/>
          <w:szCs w:val="30"/>
        </w:rPr>
        <w:t>时刻完全失灵。</w:t>
      </w:r>
    </w:p>
    <w:p w14:paraId="6AF4C60B">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2025-2026年的白银跨市场价差失衡，不是一次简单的供需波动，也不是政策失误，而是过去40年金融逻辑的一次重大破产。它证明了：当实物世界的硬约束真正发力时，金融世界的“无限流动性”神话就会崩塌。这场失衡给投资学留下了三条铁律。</w:t>
      </w:r>
    </w:p>
    <w:p w14:paraId="797CD1ED">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bCs/>
          <w:sz w:val="30"/>
          <w:szCs w:val="30"/>
        </w:rPr>
      </w:pPr>
      <w:r>
        <w:rPr>
          <w:rFonts w:hint="eastAsia" w:ascii="方正楷体_GB2312" w:hAnsi="方正楷体_GB2312" w:eastAsia="方正楷体_GB2312" w:cs="方正楷体_GB2312"/>
          <w:b w:val="0"/>
          <w:bCs w:val="0"/>
          <w:sz w:val="30"/>
          <w:szCs w:val="30"/>
        </w:rPr>
        <w:t>第一，永远不要做空物理世界的稀缺资源，尤其在库存临界点附近。</w:t>
      </w:r>
    </w:p>
    <w:p w14:paraId="4276EB4E">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过去几十年，华尔街靠做空期货、压低纸面价格来“驯服”大宗商品。但当实物库存跌破关键线、工业部门不计成本抢货时，做空不是在赌价格回调，而是在和实体工厂对赌生存。每次“看起来超买了”的时刻，反而成为逼空的新燃料。高杠杆做空者往往在这种时候被瞬间清零。所以，当现货溢价扩大、注册库存暴跌、工业需求零弹性——只要这三个信号同时出现，无论当前价格多高，只要趋势未反转，它就还是相对低位。</w:t>
      </w:r>
    </w:p>
    <w:p w14:paraId="2766E305">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bCs/>
          <w:sz w:val="30"/>
          <w:szCs w:val="30"/>
        </w:rPr>
      </w:pPr>
      <w:r>
        <w:rPr>
          <w:rFonts w:hint="eastAsia" w:ascii="方正楷体_GB2312" w:hAnsi="方正楷体_GB2312" w:eastAsia="方正楷体_GB2312" w:cs="方正楷体_GB2312"/>
          <w:b w:val="0"/>
          <w:bCs w:val="0"/>
          <w:sz w:val="30"/>
          <w:szCs w:val="30"/>
        </w:rPr>
        <w:t>第二，宁愿持有贵一点的实物，也不持有便宜但有对手方风险的纸承诺。</w:t>
      </w:r>
    </w:p>
    <w:p w14:paraId="545BF750">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COMEX期货多头可能赚取纸面收益，但交易所随时可能强制现金结算，让投资者被迫离场；纸白银ETF也可能在极端时刻暂停赎回或出现折价交易。而持有实物银条、或实物支持的封闭式产品（如某些海外实物银信托），等于拥有了“无对手方风险”的通行证。在市场脱钩、信任崩塌的时候，所有权远优于索取权。所以，极端行情中，真正的资产不是账户里的数字，而是能实际掌控、可转移的实物。</w:t>
      </w:r>
    </w:p>
    <w:p w14:paraId="60CB06E7">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楷体_GB2312" w:hAnsi="方正楷体_GB2312" w:eastAsia="方正楷体_GB2312" w:cs="方正楷体_GB2312"/>
          <w:b w:val="0"/>
          <w:bCs w:val="0"/>
          <w:sz w:val="30"/>
          <w:szCs w:val="30"/>
        </w:rPr>
      </w:pPr>
      <w:r>
        <w:rPr>
          <w:rFonts w:hint="eastAsia" w:ascii="方正楷体_GB2312" w:hAnsi="方正楷体_GB2312" w:eastAsia="方正楷体_GB2312" w:cs="方正楷体_GB2312"/>
          <w:b w:val="0"/>
          <w:bCs w:val="0"/>
          <w:sz w:val="30"/>
          <w:szCs w:val="30"/>
        </w:rPr>
        <w:t>第三，敬畏市场的非理性时刻，但别因此放弃理性等待。</w:t>
      </w:r>
    </w:p>
    <w:p w14:paraId="2B3F2E1A">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凯恩斯有句名言：“市场可以保持非理性的时间，要长过你保持偿付能力的时间。”他是在告诫我们，市场的非理性可能持续很久，久到投资者耗尽资金、无力支撑。因此，既要保持理性、不盲目跟风，也要学会耐心等待，不急于逆势操作。</w:t>
      </w:r>
    </w:p>
    <w:p w14:paraId="21F43252">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逼仓行情有时看起来极度疯狂，价格脱离基本面垂直上涨，但从另一个角度看，这恰恰是市场最理性的自我修复——通过极端价格信号，强制稀缺实物流向真正有需求的领域。泡沫终会破裂，但真实的物质需求和供给永远不会消失。</w:t>
      </w:r>
    </w:p>
    <w:p w14:paraId="4D43C559">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Times New Roman" w:hAnsi="Times New Roman" w:eastAsia="方正仿宋_GBK" w:cs="Times New Roman"/>
          <w:b w:val="0"/>
          <w:bCs w:val="0"/>
          <w:sz w:val="30"/>
          <w:szCs w:val="30"/>
        </w:rPr>
        <w:t>这场白银失衡只是一个预警。随着逆全球化、再工业化、关键资源短缺加剧，未来铜、锂、铀等大宗商品很可能重演类似剧本。旧的市场认知地图已经彻底断裂，新环境要求我们用新的视角审视市场。最终，当所有金融泡沫退潮后，唯有真实的物质财富和工业制造能力，依然坚硬如初。</w:t>
      </w:r>
    </w:p>
    <w:p w14:paraId="62B1A730">
      <w:pPr>
        <w:keepNext w:val="0"/>
        <w:keepLines w:val="0"/>
        <w:pageBreakBefore w:val="0"/>
        <w:widowControl w:val="0"/>
        <w:kinsoku/>
        <w:wordWrap/>
        <w:overflowPunct/>
        <w:topLinePunct w:val="0"/>
        <w:autoSpaceDE/>
        <w:autoSpaceDN/>
        <w:bidi w:val="0"/>
        <w:adjustRightInd/>
        <w:snapToGrid/>
        <w:spacing w:line="580" w:lineRule="exact"/>
        <w:ind w:right="0" w:rightChars="0" w:firstLine="4256" w:firstLineChars="1400"/>
        <w:jc w:val="both"/>
        <w:textAlignment w:val="auto"/>
        <w:outlineLvl w:val="9"/>
        <w:rPr>
          <w:rFonts w:hint="eastAsia" w:ascii="Times New Roman" w:hAnsi="Times New Roman" w:eastAsia="方正楷体_GBK" w:cs="方正楷体_GBK"/>
          <w:b/>
          <w:bCs/>
          <w:color w:val="FF0000"/>
          <w:spacing w:val="0"/>
          <w:kern w:val="2"/>
          <w:sz w:val="32"/>
          <w:szCs w:val="32"/>
          <w:lang w:val="en-US" w:eastAsia="zh-CN" w:bidi="ar-SA"/>
        </w:rPr>
      </w:pPr>
      <w:r>
        <w:rPr>
          <w:rFonts w:hint="eastAsia" w:ascii="Times New Roman" w:hAnsi="Times New Roman" w:eastAsia="方正楷体_GBK" w:cs="方正楷体_GBK"/>
          <w:b/>
          <w:bCs/>
          <w:color w:val="FF0000"/>
          <w:spacing w:val="0"/>
          <w:kern w:val="2"/>
          <w:sz w:val="32"/>
          <w:szCs w:val="32"/>
          <w:lang w:val="en-US" w:eastAsia="zh-CN" w:bidi="ar-SA"/>
        </w:rPr>
        <w:t>（发展研究部</w:t>
      </w:r>
      <w:r>
        <w:rPr>
          <w:rFonts w:hint="default" w:ascii="Times New Roman" w:hAnsi="Times New Roman" w:eastAsia="方正楷体_GBK" w:cs="方正楷体_GBK"/>
          <w:b/>
          <w:bCs/>
          <w:color w:val="FF0000"/>
          <w:spacing w:val="0"/>
          <w:kern w:val="2"/>
          <w:sz w:val="32"/>
          <w:szCs w:val="32"/>
          <w:lang w:val="en-US" w:eastAsia="zh-CN" w:bidi="ar-SA"/>
        </w:rPr>
        <w:t xml:space="preserve"> </w:t>
      </w:r>
      <w:r>
        <w:rPr>
          <w:rFonts w:hint="eastAsia" w:ascii="Times New Roman" w:hAnsi="Times New Roman" w:eastAsia="方正楷体_GBK" w:cs="方正楷体_GBK"/>
          <w:b/>
          <w:bCs/>
          <w:color w:val="FF0000"/>
          <w:spacing w:val="0"/>
          <w:kern w:val="2"/>
          <w:sz w:val="32"/>
          <w:szCs w:val="32"/>
          <w:lang w:val="en-US" w:eastAsia="zh-CN" w:bidi="ar-SA"/>
        </w:rPr>
        <w:t>周斌、刘浩）</w:t>
      </w:r>
    </w:p>
    <w:p w14:paraId="3C9D935E">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p>
    <w:p w14:paraId="3142C178">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p>
    <w:p w14:paraId="61EC8EDB">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p>
    <w:p w14:paraId="459B0276">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p>
    <w:p w14:paraId="3E70A3B9">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eastAsia" w:ascii="方正小标宋_GBK" w:hAnsi="方正小标宋_GBK" w:eastAsia="方正小标宋_GBK" w:cs="方正小标宋_GBK"/>
          <w:b/>
          <w:bCs/>
          <w:color w:val="2E75B6" w:themeColor="accent1" w:themeShade="BF"/>
          <w:spacing w:val="-20"/>
          <w:sz w:val="44"/>
          <w:szCs w:val="44"/>
          <w:highlight w:val="none"/>
          <w:lang w:val="en-US" w:eastAsia="zh-CN"/>
        </w:rPr>
      </w:pPr>
    </w:p>
    <w:p w14:paraId="3AD53413">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eastAsia" w:ascii="Times New Roman" w:hAnsi="Times New Roman" w:eastAsia="方正小标宋_GBK" w:cs="方正小标宋_GBK"/>
          <w:b w:val="0"/>
          <w:bCs w:val="0"/>
          <w:color w:val="auto"/>
          <w:sz w:val="36"/>
          <w:szCs w:val="36"/>
          <w:highlight w:val="none"/>
        </w:rPr>
      </w:pPr>
      <w:r>
        <w:rPr>
          <w:rFonts w:hint="eastAsia" w:ascii="方正小标宋_GBK" w:hAnsi="方正小标宋_GBK" w:eastAsia="方正小标宋_GBK" w:cs="方正小标宋_GBK"/>
          <w:b/>
          <w:bCs/>
          <w:color w:val="2E75B6" w:themeColor="accent1" w:themeShade="BF"/>
          <w:spacing w:val="-20"/>
          <w:sz w:val="44"/>
          <w:szCs w:val="44"/>
          <w:highlight w:val="none"/>
          <w:lang w:val="en-US" w:eastAsia="zh-CN"/>
        </w:rPr>
        <w:t>日元、日债与日本经济的十字路口</w:t>
      </w:r>
    </w:p>
    <w:p w14:paraId="477B685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方正小标宋_GBK" w:cs="方正小标宋_GBK"/>
          <w:b w:val="0"/>
          <w:bCs w:val="0"/>
          <w:color w:val="auto"/>
          <w:sz w:val="36"/>
          <w:szCs w:val="36"/>
          <w:highlight w:val="none"/>
        </w:rPr>
      </w:pPr>
    </w:p>
    <w:p w14:paraId="283E66D8">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日本正在发生一件标志着三十年旧时代彻底终结的大事。</w:t>
      </w:r>
    </w:p>
    <w:p w14:paraId="65B9BE65">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2025年10月21日，高市早苗以压倒性优势当选日本首位女首相。选民对长期派系政治的厌倦，以及对“失去的三十年”经济低迷的失望，成为决定性力量。上台不到四个月，她便于2026年1月解散众议院，提前举行大选。2月9日，自民党在高市领导下取得压倒性胜利，众议院465席中独得316席，执政联盟掌控三分之二多数，彻底巩固了其执政基础。</w:t>
      </w:r>
    </w:p>
    <w:p w14:paraId="7893333E">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高市一上台就祭出“安倍2.0”式重拳：2025年11月21日，内阁批准总额21.3万亿日元（约1354亿美元）的疫情以来最大规模经济刺激计划，其中17.7万亿日元通过追加预算支出，11.7万亿需发行新国债填补</w:t>
      </w:r>
      <w:r>
        <w:rPr>
          <w:rFonts w:hint="eastAsia" w:ascii="Times New Roman" w:hAnsi="Times New Roman" w:eastAsia="方正仿宋_GBK" w:cs="方正仿宋_GBK"/>
          <w:sz w:val="30"/>
          <w:szCs w:val="30"/>
          <w:lang w:eastAsia="zh-CN"/>
        </w:rPr>
        <w:t>，</w:t>
      </w:r>
      <w:r>
        <w:rPr>
          <w:rFonts w:hint="eastAsia" w:ascii="Times New Roman" w:hAnsi="Times New Roman" w:eastAsia="方正仿宋_GBK" w:cs="方正仿宋_GBK"/>
          <w:sz w:val="30"/>
          <w:szCs w:val="30"/>
        </w:rPr>
        <w:t>这被市场视为她试图复制安倍晋三“宽财政+</w:t>
      </w:r>
      <w:r>
        <w:rPr>
          <w:rFonts w:hint="eastAsia" w:ascii="Times New Roman" w:hAnsi="Times New Roman" w:eastAsia="方正仿宋_GBK" w:cs="方正仿宋_GBK"/>
          <w:sz w:val="30"/>
          <w:szCs w:val="30"/>
          <w:lang w:eastAsia="zh-CN"/>
        </w:rPr>
        <w:t>弱</w:t>
      </w:r>
      <w:r>
        <w:rPr>
          <w:rFonts w:hint="eastAsia" w:ascii="Times New Roman" w:hAnsi="Times New Roman" w:eastAsia="方正仿宋_GBK" w:cs="方正仿宋_GBK"/>
          <w:sz w:val="30"/>
          <w:szCs w:val="30"/>
        </w:rPr>
        <w:t>日元”组合拳的决心。</w:t>
      </w:r>
    </w:p>
    <w:p w14:paraId="2E674EF7">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但时空背景已截然不同——通胀从温和刺激转为输入型压力、</w:t>
      </w:r>
      <w:r>
        <w:rPr>
          <w:rFonts w:hint="eastAsia" w:ascii="Times New Roman" w:hAnsi="Times New Roman" w:eastAsia="方正仿宋_GBK" w:cs="方正仿宋_GBK"/>
          <w:sz w:val="30"/>
          <w:szCs w:val="30"/>
          <w:lang w:eastAsia="zh-CN"/>
        </w:rPr>
        <w:t>日本</w:t>
      </w:r>
      <w:r>
        <w:rPr>
          <w:rFonts w:hint="eastAsia" w:ascii="Times New Roman" w:hAnsi="Times New Roman" w:eastAsia="方正仿宋_GBK" w:cs="方正仿宋_GBK"/>
          <w:sz w:val="30"/>
          <w:szCs w:val="30"/>
        </w:rPr>
        <w:t>央行从无限接盘转向缩表、日元从稳定融资工具转为波动源头，高市的措施一经推出，便引发市场对财政可持续性和债券收益率的激烈争论。</w:t>
      </w:r>
    </w:p>
    <w:p w14:paraId="72453AC4">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drawing>
          <wp:inline distT="0" distB="0" distL="114300" distR="114300">
            <wp:extent cx="5273040" cy="3011170"/>
            <wp:effectExtent l="0" t="0" r="3810"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273040" cy="3011170"/>
                    </a:xfrm>
                    <a:prstGeom prst="rect">
                      <a:avLst/>
                    </a:prstGeom>
                    <a:noFill/>
                    <a:ln>
                      <a:noFill/>
                    </a:ln>
                  </pic:spPr>
                </pic:pic>
              </a:graphicData>
            </a:graphic>
          </wp:inline>
        </w:drawing>
      </w:r>
    </w:p>
    <w:p w14:paraId="6FDDF05C">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b/>
          <w:bCs/>
          <w:sz w:val="30"/>
          <w:szCs w:val="30"/>
          <w:lang w:eastAsia="zh-CN"/>
        </w:rPr>
      </w:pPr>
      <w:r>
        <w:rPr>
          <w:rFonts w:hint="eastAsia" w:ascii="方正黑体_GBK" w:hAnsi="方正黑体_GBK" w:eastAsia="方正黑体_GBK" w:cs="方正黑体_GBK"/>
          <w:b w:val="0"/>
          <w:bCs w:val="0"/>
          <w:color w:val="auto"/>
          <w:sz w:val="30"/>
          <w:szCs w:val="30"/>
        </w:rPr>
        <w:t>一、</w:t>
      </w:r>
      <w:r>
        <w:rPr>
          <w:rFonts w:hint="eastAsia" w:ascii="方正黑体_GBK" w:hAnsi="方正黑体_GBK" w:eastAsia="方正黑体_GBK" w:cs="方正黑体_GBK"/>
          <w:b w:val="0"/>
          <w:bCs w:val="0"/>
          <w:color w:val="auto"/>
          <w:sz w:val="30"/>
          <w:szCs w:val="30"/>
          <w:lang w:eastAsia="zh-CN"/>
        </w:rPr>
        <w:t>宽</w:t>
      </w:r>
      <w:r>
        <w:rPr>
          <w:rFonts w:hint="eastAsia" w:ascii="方正黑体_GBK" w:hAnsi="方正黑体_GBK" w:eastAsia="方正黑体_GBK" w:cs="方正黑体_GBK"/>
          <w:b w:val="0"/>
          <w:bCs w:val="0"/>
          <w:color w:val="auto"/>
          <w:sz w:val="30"/>
          <w:szCs w:val="30"/>
        </w:rPr>
        <w:t>财政撞上通胀墙</w:t>
      </w:r>
      <w:r>
        <w:rPr>
          <w:rFonts w:hint="eastAsia" w:ascii="方正黑体_GBK" w:hAnsi="方正黑体_GBK" w:eastAsia="方正黑体_GBK" w:cs="方正黑体_GBK"/>
          <w:b w:val="0"/>
          <w:bCs w:val="0"/>
          <w:color w:val="auto"/>
          <w:sz w:val="30"/>
          <w:szCs w:val="30"/>
          <w:lang w:eastAsia="zh-CN"/>
        </w:rPr>
        <w:t>，“不可能三角”显现</w:t>
      </w:r>
    </w:p>
    <w:p w14:paraId="4E9A6093">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lang w:eastAsia="zh-CN"/>
        </w:rPr>
      </w:pPr>
      <w:r>
        <w:rPr>
          <w:rFonts w:hint="eastAsia" w:ascii="Times New Roman" w:hAnsi="Times New Roman" w:eastAsia="方正仿宋_GBK" w:cs="方正仿宋_GBK"/>
          <w:sz w:val="30"/>
          <w:szCs w:val="30"/>
        </w:rPr>
        <w:t>日本政府债务规模长期居全球发达经济体之首。根据国际货币基金组织（IMF）数据，2025年日本一般政府总债务占GDP比重约为227%-230%（2024年为236.7%），远高于其他主要</w:t>
      </w:r>
      <w:r>
        <w:rPr>
          <w:rFonts w:hint="eastAsia" w:ascii="Times New Roman" w:hAnsi="Times New Roman" w:eastAsia="方正仿宋_GBK" w:cs="方正仿宋_GBK"/>
          <w:sz w:val="30"/>
          <w:szCs w:val="30"/>
          <w:lang w:eastAsia="zh-CN"/>
        </w:rPr>
        <w:t>经济体</w:t>
      </w:r>
      <w:r>
        <w:rPr>
          <w:rFonts w:hint="eastAsia" w:ascii="Times New Roman" w:hAnsi="Times New Roman" w:eastAsia="方正仿宋_GBK" w:cs="方正仿宋_GBK"/>
          <w:sz w:val="30"/>
          <w:szCs w:val="30"/>
        </w:rPr>
        <w:t>。高债务率已成为日本宏观经济运行的长期结构性特征，使财政政策空间高度依赖融资成本的稳定性与可控性。</w:t>
      </w:r>
    </w:p>
    <w:p w14:paraId="44DA9A51">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过去三十年，日本能够在高债务环境下维持财政可持续性，关键在于日本央行持续实施的超宽松货币政策框架。自20世纪90年代末实施零利率政策以来，日本央行通过量化宽松、质与量宽松等工具持续压低长期利率水平。2016年9月，日本央行进一步推出“收益率曲线控制”（Yield Curve Control，YCC）机制，明确将10年期国债收益率锚定在0%附近，并在必要时通过大规模国债购买进行市场干预，随后逐步扩大收益率波动区间。该制度性安排使中长期国债收益率长期维持在极低水平，从而显著降低了政府债务融资成本，为高债务状态下的财政运行提供了重要支撑。</w:t>
      </w:r>
    </w:p>
    <w:p w14:paraId="355E8BB2">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然而，进入2025年后，这一长期有效的制度安排开始面临结构性挑战。日本核心消费者物价指数（剔除生鲜食品</w:t>
      </w:r>
      <w:r>
        <w:rPr>
          <w:rFonts w:hint="eastAsia" w:ascii="Times New Roman" w:hAnsi="Times New Roman" w:eastAsia="方正仿宋_GBK" w:cs="方正仿宋_GBK"/>
          <w:sz w:val="30"/>
          <w:szCs w:val="30"/>
          <w:lang w:eastAsia="zh-CN"/>
        </w:rPr>
        <w:t>的核心</w:t>
      </w:r>
      <w:r>
        <w:rPr>
          <w:rFonts w:hint="eastAsia" w:ascii="Times New Roman" w:hAnsi="Times New Roman" w:eastAsia="方正仿宋_GBK" w:cs="方正仿宋_GBK"/>
          <w:sz w:val="30"/>
          <w:szCs w:val="30"/>
        </w:rPr>
        <w:t>CPI）虽从2025年底的3.0%高位回落，但2025年12月仍为2.4%，</w:t>
      </w:r>
      <w:r>
        <w:rPr>
          <w:rFonts w:hint="eastAsia" w:ascii="Times New Roman" w:hAnsi="Times New Roman" w:eastAsia="方正仿宋_GBK" w:cs="方正仿宋_GBK"/>
          <w:sz w:val="30"/>
          <w:szCs w:val="30"/>
          <w:lang w:eastAsia="zh-CN"/>
        </w:rPr>
        <w:t>已</w:t>
      </w:r>
      <w:r>
        <w:rPr>
          <w:rFonts w:hint="eastAsia" w:ascii="Times New Roman" w:hAnsi="Times New Roman" w:eastAsia="方正仿宋_GBK" w:cs="方正仿宋_GBK"/>
          <w:sz w:val="30"/>
          <w:szCs w:val="30"/>
        </w:rPr>
        <w:t>连续多月高于日本央行2%的物价稳定目标。</w:t>
      </w:r>
      <w:r>
        <w:rPr>
          <w:rFonts w:hint="eastAsia" w:ascii="Times New Roman" w:hAnsi="Times New Roman" w:eastAsia="方正仿宋_GBK" w:cs="方正仿宋_GBK"/>
          <w:sz w:val="30"/>
          <w:szCs w:val="30"/>
          <w:lang w:eastAsia="zh-CN"/>
        </w:rPr>
        <w:t>此外，</w:t>
      </w:r>
      <w:r>
        <w:rPr>
          <w:rFonts w:hint="eastAsia" w:ascii="Times New Roman" w:hAnsi="Times New Roman" w:eastAsia="方正仿宋_GBK" w:cs="方正仿宋_GBK"/>
          <w:sz w:val="30"/>
          <w:szCs w:val="30"/>
        </w:rPr>
        <w:t>能源和食品价格受日元汇率波动影响较大，输入型通胀压力持续存在。</w:t>
      </w:r>
    </w:p>
    <w:p w14:paraId="0BBBF080">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在这一背景下，日本央行逐步退出YCC框架下的主动收益率管理，即减少大规模资产购买并启动缩表进程。这意味着日本政府发行新债时，日本央行不再是默认的“最后买家”，国债市场必须更多依赖私人部门的需求进行消化，并按供需实现定价——即国债的交易价格（到期收益率）。</w:t>
      </w:r>
    </w:p>
    <w:p w14:paraId="5E3F0D4A">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2025年11月21日批准的21.3万亿日元经济刺激计划，</w:t>
      </w:r>
      <w:r>
        <w:rPr>
          <w:rFonts w:hint="eastAsia" w:ascii="Times New Roman" w:hAnsi="Times New Roman" w:eastAsia="方正仿宋_GBK" w:cs="方正仿宋_GBK"/>
          <w:sz w:val="30"/>
          <w:szCs w:val="30"/>
          <w:lang w:eastAsia="zh-CN"/>
        </w:rPr>
        <w:t>对日本国债市场产生了</w:t>
      </w:r>
      <w:r>
        <w:rPr>
          <w:rFonts w:hint="eastAsia" w:ascii="Times New Roman" w:hAnsi="Times New Roman" w:eastAsia="方正仿宋_GBK" w:cs="方正仿宋_GBK"/>
          <w:sz w:val="30"/>
          <w:szCs w:val="30"/>
        </w:rPr>
        <w:t>直接考验</w:t>
      </w:r>
      <w:r>
        <w:rPr>
          <w:rFonts w:hint="eastAsia" w:ascii="Times New Roman" w:hAnsi="Times New Roman" w:eastAsia="方正仿宋_GBK" w:cs="方正仿宋_GBK"/>
          <w:sz w:val="30"/>
          <w:szCs w:val="30"/>
          <w:lang w:eastAsia="zh-CN"/>
        </w:rPr>
        <w:t>，</w:t>
      </w:r>
      <w:r>
        <w:rPr>
          <w:rFonts w:hint="eastAsia" w:ascii="Times New Roman" w:hAnsi="Times New Roman" w:eastAsia="方正仿宋_GBK" w:cs="方正仿宋_GBK"/>
          <w:sz w:val="30"/>
          <w:szCs w:val="30"/>
        </w:rPr>
        <w:t>其中11.7万亿需新增国债发行</w:t>
      </w:r>
      <w:r>
        <w:rPr>
          <w:rFonts w:hint="eastAsia" w:ascii="Times New Roman" w:hAnsi="Times New Roman" w:eastAsia="方正仿宋_GBK" w:cs="方正仿宋_GBK"/>
          <w:sz w:val="30"/>
          <w:szCs w:val="30"/>
          <w:lang w:eastAsia="zh-CN"/>
        </w:rPr>
        <w:t>，如此大</w:t>
      </w:r>
      <w:r>
        <w:rPr>
          <w:rFonts w:hint="eastAsia" w:ascii="Times New Roman" w:hAnsi="Times New Roman" w:eastAsia="方正仿宋_GBK" w:cs="方正仿宋_GBK"/>
          <w:sz w:val="30"/>
          <w:szCs w:val="30"/>
        </w:rPr>
        <w:t>规模的</w:t>
      </w:r>
      <w:r>
        <w:rPr>
          <w:rFonts w:hint="eastAsia" w:ascii="Times New Roman" w:hAnsi="Times New Roman" w:eastAsia="方正仿宋_GBK" w:cs="方正仿宋_GBK"/>
          <w:sz w:val="30"/>
          <w:szCs w:val="30"/>
          <w:lang w:eastAsia="zh-CN"/>
        </w:rPr>
        <w:t>国债</w:t>
      </w:r>
      <w:r>
        <w:rPr>
          <w:rFonts w:hint="eastAsia" w:ascii="Times New Roman" w:hAnsi="Times New Roman" w:eastAsia="方正仿宋_GBK" w:cs="方正仿宋_GBK"/>
          <w:sz w:val="30"/>
          <w:szCs w:val="30"/>
        </w:rPr>
        <w:t>供给增加，直接打破了此前由央行主导的供需平衡。</w:t>
      </w:r>
    </w:p>
    <w:p w14:paraId="20CE281E">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截至2026年2月19日，10年期日本国债收益率稳定在2.14%-2.15%附近（较1月高点有所回落，但仍显著高于2025年初水平）；20年期收益率接近2.98%，30年期收益率一度逼近3.3%以上。</w:t>
      </w:r>
      <w:r>
        <w:rPr>
          <w:rFonts w:hint="eastAsia" w:ascii="Times New Roman" w:hAnsi="Times New Roman" w:eastAsia="方正仿宋_GBK" w:cs="方正仿宋_GBK"/>
          <w:sz w:val="30"/>
          <w:szCs w:val="30"/>
          <w:lang w:eastAsia="zh-CN"/>
        </w:rPr>
        <w:t>收益率上行，既反映对未来货币政策路径的重新定价，也包含市场对债务可持续性和供给压力的评估。</w:t>
      </w:r>
    </w:p>
    <w:p w14:paraId="0587DF6C">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外部因素</w:t>
      </w:r>
      <w:r>
        <w:rPr>
          <w:rFonts w:hint="eastAsia" w:ascii="Times New Roman" w:hAnsi="Times New Roman" w:eastAsia="方正仿宋_GBK" w:cs="方正仿宋_GBK"/>
          <w:sz w:val="30"/>
          <w:szCs w:val="30"/>
          <w:lang w:eastAsia="zh-CN"/>
        </w:rPr>
        <w:t>又</w:t>
      </w:r>
      <w:r>
        <w:rPr>
          <w:rFonts w:hint="eastAsia" w:ascii="Times New Roman" w:hAnsi="Times New Roman" w:eastAsia="方正仿宋_GBK" w:cs="方正仿宋_GBK"/>
          <w:sz w:val="30"/>
          <w:szCs w:val="30"/>
        </w:rPr>
        <w:t>进一步加剧了</w:t>
      </w:r>
      <w:r>
        <w:rPr>
          <w:rFonts w:hint="eastAsia" w:ascii="Times New Roman" w:hAnsi="Times New Roman" w:eastAsia="方正仿宋_GBK" w:cs="方正仿宋_GBK"/>
          <w:sz w:val="30"/>
          <w:szCs w:val="30"/>
          <w:lang w:eastAsia="zh-CN"/>
        </w:rPr>
        <w:t>日债市场的</w:t>
      </w:r>
      <w:r>
        <w:rPr>
          <w:rFonts w:hint="eastAsia" w:ascii="Times New Roman" w:hAnsi="Times New Roman" w:eastAsia="方正仿宋_GBK" w:cs="方正仿宋_GBK"/>
          <w:sz w:val="30"/>
          <w:szCs w:val="30"/>
        </w:rPr>
        <w:t>压力。</w:t>
      </w:r>
      <w:r>
        <w:rPr>
          <w:rFonts w:hint="eastAsia" w:ascii="Times New Roman" w:hAnsi="Times New Roman" w:eastAsia="方正仿宋_GBK" w:cs="方正仿宋_GBK"/>
          <w:sz w:val="30"/>
          <w:szCs w:val="30"/>
          <w:lang w:val="en-US"/>
        </w:rPr>
        <w:t>2025</w:t>
      </w:r>
      <w:r>
        <w:rPr>
          <w:rFonts w:hint="eastAsia" w:ascii="Times New Roman" w:hAnsi="Times New Roman" w:eastAsia="方正仿宋_GBK" w:cs="方正仿宋_GBK"/>
          <w:sz w:val="30"/>
          <w:szCs w:val="30"/>
          <w:lang w:val="en-US" w:eastAsia="zh-CN"/>
        </w:rPr>
        <w:t>年，</w:t>
      </w:r>
      <w:r>
        <w:rPr>
          <w:rFonts w:hint="eastAsia" w:ascii="Times New Roman" w:hAnsi="Times New Roman" w:eastAsia="方正仿宋_GBK" w:cs="方正仿宋_GBK"/>
          <w:sz w:val="30"/>
          <w:szCs w:val="30"/>
        </w:rPr>
        <w:t>特朗普第二任期启动后，美国贸易保护主义政策升级</w:t>
      </w:r>
      <w:r>
        <w:rPr>
          <w:rFonts w:hint="eastAsia" w:ascii="Times New Roman" w:hAnsi="Times New Roman" w:eastAsia="方正仿宋_GBK" w:cs="方正仿宋_GBK"/>
          <w:sz w:val="30"/>
          <w:szCs w:val="30"/>
          <w:lang w:eastAsia="zh-CN"/>
        </w:rPr>
        <w:t>。逼于关税压力，</w:t>
      </w:r>
      <w:r>
        <w:rPr>
          <w:rFonts w:hint="eastAsia" w:ascii="Times New Roman" w:hAnsi="Times New Roman" w:eastAsia="方正仿宋_GBK" w:cs="方正仿宋_GBK"/>
          <w:sz w:val="30"/>
          <w:szCs w:val="30"/>
        </w:rPr>
        <w:t>日本政府承诺在特朗普任期内完成约5500亿美元的对美直接投资</w:t>
      </w:r>
      <w:r>
        <w:rPr>
          <w:rFonts w:hint="eastAsia" w:ascii="Times New Roman" w:hAnsi="Times New Roman" w:eastAsia="方正仿宋_GBK" w:cs="方正仿宋_GBK"/>
          <w:sz w:val="30"/>
          <w:szCs w:val="30"/>
          <w:lang w:eastAsia="zh-CN"/>
        </w:rPr>
        <w:t>，</w:t>
      </w:r>
      <w:r>
        <w:rPr>
          <w:rFonts w:hint="eastAsia" w:ascii="Times New Roman" w:hAnsi="Times New Roman" w:eastAsia="方正仿宋_GBK" w:cs="方正仿宋_GBK"/>
          <w:sz w:val="30"/>
          <w:szCs w:val="30"/>
        </w:rPr>
        <w:t>首批项目已于2026年2月部分敲定，涵盖能源、关键矿产等领域。这一承诺要求短期内大规模资本从日本流出，形成持续的资本账户逆差压力——即卖出日元、买入美元，进一步抑制日元汇率的升值空间。</w:t>
      </w:r>
    </w:p>
    <w:p w14:paraId="1FE34D12">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由此，一个经典的“不可能三角”格局逐渐显现：财政扩张推高收益率曲线，抬升融资成本；通胀控制要求央行维持渐进紧缩甚至加息路径；汇率稳定则因资本外流与财政可持续性担忧而难以实现，甚至出现“加息却贬值”的反常现象。这三个目标难以同时达成，该约束并非理论推演，而是当前政策组合下已开始显现的现实冲突。</w:t>
      </w:r>
    </w:p>
    <w:p w14:paraId="1C0A3359">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b/>
          <w:bCs/>
          <w:color w:val="0000FF"/>
          <w:sz w:val="30"/>
          <w:szCs w:val="30"/>
        </w:rPr>
      </w:pPr>
      <w:r>
        <w:rPr>
          <w:rFonts w:hint="eastAsia" w:ascii="方正黑体_GBK" w:hAnsi="方正黑体_GBK" w:eastAsia="方正黑体_GBK" w:cs="方正黑体_GBK"/>
          <w:b w:val="0"/>
          <w:bCs w:val="0"/>
          <w:color w:val="auto"/>
          <w:sz w:val="30"/>
          <w:szCs w:val="30"/>
        </w:rPr>
        <w:t>二、历史镜鉴：“寡妇交易”的持久警示</w:t>
      </w:r>
    </w:p>
    <w:p w14:paraId="1419BCEA">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做空日本国债（即押注收益率上升、债券价格下跌）在国际金融市场长期被称作“寡妇交易”（Widowmaker Trade）。这一绰号源于过去三十多年里，</w:t>
      </w:r>
      <w:r>
        <w:rPr>
          <w:rFonts w:hint="eastAsia" w:ascii="Times New Roman" w:hAnsi="Times New Roman" w:eastAsia="方正仿宋_GBK" w:cs="方正仿宋_GBK"/>
          <w:sz w:val="30"/>
          <w:szCs w:val="30"/>
          <w:lang w:eastAsia="zh-CN"/>
        </w:rPr>
        <w:t>因为</w:t>
      </w:r>
      <w:r>
        <w:rPr>
          <w:rFonts w:hint="eastAsia" w:ascii="Times New Roman" w:hAnsi="Times New Roman" w:eastAsia="方正仿宋_GBK" w:cs="方正仿宋_GBK"/>
          <w:sz w:val="30"/>
          <w:szCs w:val="30"/>
        </w:rPr>
        <w:t>该策略反复导致重大损失：无论宏观环境如何演变，日本央行总能通过政策工具将国债收益率维持在极低水平，导致债券价格持续走高，做空头寸屡屡被迫平仓或遭受巨额亏损。</w:t>
      </w:r>
    </w:p>
    <w:p w14:paraId="1589B2EE">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以下是主要历史阶段及其核心原因：</w:t>
      </w:r>
    </w:p>
    <w:p w14:paraId="29B7063C">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1994-1998年</w:t>
      </w:r>
      <w:r>
        <w:rPr>
          <w:rFonts w:hint="eastAsia" w:ascii="Times New Roman" w:hAnsi="Times New Roman" w:eastAsia="方正仿宋_GBK" w:cs="方正仿宋_GBK"/>
          <w:sz w:val="30"/>
          <w:szCs w:val="30"/>
          <w:lang w:eastAsia="zh-CN"/>
        </w:rPr>
        <w:t>，</w:t>
      </w:r>
      <w:r>
        <w:rPr>
          <w:rFonts w:hint="eastAsia" w:ascii="Times New Roman" w:hAnsi="Times New Roman" w:eastAsia="方正仿宋_GBK" w:cs="方正仿宋_GBK"/>
          <w:sz w:val="30"/>
          <w:szCs w:val="30"/>
        </w:rPr>
        <w:t>日本经济深陷资产泡沫破灭后的通缩陷阱，名义经济增长率长期为负，通胀预期极低。市场一度预期财政赤字扩大和债务积累将迫使收益率反弹，但日本央行维持零利率政策并加大流动性注入，国债需求被国内机构（如银行、保险公司）持续吸收，做空者低估了通缩环境下对安全资产的结构性需求，导致收益率不升反降，做空头寸被持续挤压。</w:t>
      </w:r>
    </w:p>
    <w:p w14:paraId="5246C9D7">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2006-2007年</w:t>
      </w:r>
      <w:r>
        <w:rPr>
          <w:rFonts w:hint="eastAsia" w:ascii="Times New Roman" w:hAnsi="Times New Roman" w:eastAsia="方正仿宋_GBK" w:cs="方正仿宋_GBK"/>
          <w:sz w:val="30"/>
          <w:szCs w:val="30"/>
          <w:lang w:eastAsia="zh-CN"/>
        </w:rPr>
        <w:t>，</w:t>
      </w:r>
      <w:r>
        <w:rPr>
          <w:rFonts w:hint="eastAsia" w:ascii="Times New Roman" w:hAnsi="Times New Roman" w:eastAsia="方正仿宋_GBK" w:cs="方正仿宋_GBK"/>
          <w:sz w:val="30"/>
          <w:szCs w:val="30"/>
        </w:rPr>
        <w:t>全球经济复苏阶段，日本出现短暂“脱通缩”迹象，部分投资者押注日本央行将结束量化宽松并加息。然而，次贷危机前夕全球风险偏好逆转，日本经济再度承压，央行维持超宽松立场，国债收益率回落，做空策略在预期落空中遭受重创。</w:t>
      </w:r>
    </w:p>
    <w:p w14:paraId="5410CF38">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2013-2021年</w:t>
      </w:r>
      <w:r>
        <w:rPr>
          <w:rFonts w:hint="eastAsia" w:ascii="Times New Roman" w:hAnsi="Times New Roman" w:eastAsia="方正仿宋_GBK" w:cs="方正仿宋_GBK"/>
          <w:sz w:val="30"/>
          <w:szCs w:val="30"/>
          <w:lang w:eastAsia="zh-CN"/>
        </w:rPr>
        <w:t>，“</w:t>
      </w:r>
      <w:r>
        <w:rPr>
          <w:rFonts w:hint="eastAsia" w:ascii="Times New Roman" w:hAnsi="Times New Roman" w:eastAsia="方正仿宋_GBK" w:cs="方正仿宋_GBK"/>
          <w:sz w:val="30"/>
          <w:szCs w:val="30"/>
        </w:rPr>
        <w:t>安倍经济学</w:t>
      </w:r>
      <w:r>
        <w:rPr>
          <w:rFonts w:hint="eastAsia" w:ascii="Times New Roman" w:hAnsi="Times New Roman" w:eastAsia="方正仿宋_GBK" w:cs="方正仿宋_GBK"/>
          <w:sz w:val="30"/>
          <w:szCs w:val="30"/>
          <w:lang w:eastAsia="zh-CN"/>
        </w:rPr>
        <w:t>”</w:t>
      </w:r>
      <w:r>
        <w:rPr>
          <w:rFonts w:hint="eastAsia" w:ascii="Times New Roman" w:hAnsi="Times New Roman" w:eastAsia="方正仿宋_GBK" w:cs="方正仿宋_GBK"/>
          <w:sz w:val="30"/>
          <w:szCs w:val="30"/>
        </w:rPr>
        <w:t>推出后，日本央行实施大规模量化宽松并于2016年正式引入收益率曲线控制（YCC），明确将10年期国债收益率锚定在0%左右（后逐步放宽）。央行成为国债市场最大买家，吸收绝大部分新增供给，收益率波动被行政性压制到历史极低水平。做空者虽看到债务/GDP比超过250%、财政赤字持续扩大，但央行无限购债的“兜底”机制使任何收益率上行尝试迅速被逆转，导致长期做空头寸几乎全部爆仓或被迫止损。</w:t>
      </w:r>
    </w:p>
    <w:p w14:paraId="06A9EFE1">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2022年后，随着YCC逐步松动（目标区间从±0.25%放宽至±1%，并转向减少购债规模），市场认为“寡妇交易”已终结。2022-2024年期间，10年期日本国债收益率从接近0%升至1%以上，做空策略一度实现显著获利。</w:t>
      </w:r>
    </w:p>
    <w:p w14:paraId="602F175E">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然而，进入2025年后，这一乐观判断被证明为时过早。高市早苗政府推出的21.3万亿日元大规模刺激计划，再次将财政扩张与货币正常化置于直接冲突之中：刺激内需需要低融资成本以放大乘数效应，但通胀压力要求央行维持渐进紧缩路径，进一步推升利率水平。两者难以兼得。尽管当前冲突已推动收益率曲线上行（短期有利于做空策略），但政策不确定性（央行剩余干预空间、全球利差波动等）仍使收益率路径反复无常，做空者面临突发挤压风险。</w:t>
      </w:r>
    </w:p>
    <w:p w14:paraId="41D537FA">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drawing>
          <wp:inline distT="0" distB="0" distL="114300" distR="114300">
            <wp:extent cx="4398645" cy="2934970"/>
            <wp:effectExtent l="0" t="0" r="1905"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4398645" cy="2934970"/>
                    </a:xfrm>
                    <a:prstGeom prst="rect">
                      <a:avLst/>
                    </a:prstGeom>
                    <a:noFill/>
                    <a:ln>
                      <a:noFill/>
                    </a:ln>
                  </pic:spPr>
                </pic:pic>
              </a:graphicData>
            </a:graphic>
          </wp:inline>
        </w:drawing>
      </w:r>
    </w:p>
    <w:p w14:paraId="3E9479E8">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b/>
          <w:bCs/>
          <w:color w:val="0000FF"/>
          <w:sz w:val="30"/>
          <w:szCs w:val="30"/>
          <w:lang w:eastAsia="zh-CN"/>
        </w:rPr>
      </w:pPr>
      <w:r>
        <w:rPr>
          <w:rFonts w:hint="eastAsia" w:ascii="方正黑体_GBK" w:hAnsi="方正黑体_GBK" w:eastAsia="方正黑体_GBK" w:cs="方正黑体_GBK"/>
          <w:b w:val="0"/>
          <w:bCs w:val="0"/>
          <w:color w:val="auto"/>
          <w:sz w:val="30"/>
          <w:szCs w:val="30"/>
          <w:lang w:eastAsia="zh-CN"/>
        </w:rPr>
        <w:t>三、日元套利交易的结构性退潮</w:t>
      </w:r>
    </w:p>
    <w:p w14:paraId="2BEF5629">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更深层的问题在于，这一冲突正加速日元作为全球“融资货币”的结构性退潮。</w:t>
      </w:r>
    </w:p>
    <w:p w14:paraId="0C6E2838">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过去三十年，日本利率长期锚定在接近零的水平，形成一种可预期的“制度承诺”——借入日元成本极低且稳定</w:t>
      </w:r>
      <w:r>
        <w:rPr>
          <w:rFonts w:hint="eastAsia" w:ascii="Times New Roman" w:hAnsi="Times New Roman" w:eastAsia="方正仿宋_GBK" w:cs="方正仿宋_GBK"/>
          <w:sz w:val="30"/>
          <w:szCs w:val="30"/>
          <w:lang w:eastAsia="zh-CN"/>
        </w:rPr>
        <w:t>、</w:t>
      </w:r>
      <w:r>
        <w:rPr>
          <w:rFonts w:hint="eastAsia" w:ascii="Times New Roman" w:hAnsi="Times New Roman" w:eastAsia="方正仿宋_GBK" w:cs="方正仿宋_GBK"/>
          <w:sz w:val="30"/>
          <w:szCs w:val="30"/>
        </w:rPr>
        <w:t>汇率偏弱或区间震荡</w:t>
      </w:r>
      <w:r>
        <w:rPr>
          <w:rFonts w:hint="eastAsia" w:ascii="Times New Roman" w:hAnsi="Times New Roman" w:eastAsia="方正仿宋_GBK" w:cs="方正仿宋_GBK"/>
          <w:sz w:val="30"/>
          <w:szCs w:val="30"/>
          <w:lang w:eastAsia="zh-CN"/>
        </w:rPr>
        <w:t>，这</w:t>
      </w:r>
      <w:r>
        <w:rPr>
          <w:rFonts w:hint="eastAsia" w:ascii="Times New Roman" w:hAnsi="Times New Roman" w:eastAsia="方正仿宋_GBK" w:cs="方正仿宋_GBK"/>
          <w:sz w:val="30"/>
          <w:szCs w:val="30"/>
        </w:rPr>
        <w:t>使得借</w:t>
      </w:r>
      <w:r>
        <w:rPr>
          <w:rFonts w:hint="eastAsia" w:ascii="Times New Roman" w:hAnsi="Times New Roman" w:eastAsia="方正仿宋_GBK" w:cs="方正仿宋_GBK"/>
          <w:sz w:val="30"/>
          <w:szCs w:val="30"/>
          <w:lang w:eastAsia="zh-CN"/>
        </w:rPr>
        <w:t>入</w:t>
      </w:r>
      <w:r>
        <w:rPr>
          <w:rFonts w:hint="eastAsia" w:ascii="Times New Roman" w:hAnsi="Times New Roman" w:eastAsia="方正仿宋_GBK" w:cs="方正仿宋_GBK"/>
          <w:sz w:val="30"/>
          <w:szCs w:val="30"/>
        </w:rPr>
        <w:t>日元兑换</w:t>
      </w:r>
      <w:r>
        <w:rPr>
          <w:rFonts w:hint="eastAsia" w:ascii="Times New Roman" w:hAnsi="Times New Roman" w:eastAsia="方正仿宋_GBK" w:cs="方正仿宋_GBK"/>
          <w:sz w:val="30"/>
          <w:szCs w:val="30"/>
          <w:lang w:eastAsia="zh-CN"/>
        </w:rPr>
        <w:t>为</w:t>
      </w:r>
      <w:r>
        <w:rPr>
          <w:rFonts w:hint="eastAsia" w:ascii="Times New Roman" w:hAnsi="Times New Roman" w:eastAsia="方正仿宋_GBK" w:cs="方正仿宋_GBK"/>
          <w:sz w:val="30"/>
          <w:szCs w:val="30"/>
        </w:rPr>
        <w:t>高收益货币（如美元）</w:t>
      </w:r>
      <w:r>
        <w:rPr>
          <w:rFonts w:hint="eastAsia" w:ascii="Times New Roman" w:hAnsi="Times New Roman" w:eastAsia="方正仿宋_GBK" w:cs="方正仿宋_GBK"/>
          <w:sz w:val="30"/>
          <w:szCs w:val="30"/>
          <w:lang w:eastAsia="zh-CN"/>
        </w:rPr>
        <w:t>，然后</w:t>
      </w:r>
      <w:r>
        <w:rPr>
          <w:rFonts w:hint="eastAsia" w:ascii="Times New Roman" w:hAnsi="Times New Roman" w:eastAsia="方正仿宋_GBK" w:cs="方正仿宋_GBK"/>
          <w:sz w:val="30"/>
          <w:szCs w:val="30"/>
        </w:rPr>
        <w:t>配置风险资产（如美股、新兴市场、加密资产）</w:t>
      </w:r>
      <w:r>
        <w:rPr>
          <w:rFonts w:hint="eastAsia" w:ascii="Times New Roman" w:hAnsi="Times New Roman" w:eastAsia="方正仿宋_GBK" w:cs="方正仿宋_GBK"/>
          <w:sz w:val="30"/>
          <w:szCs w:val="30"/>
          <w:lang w:eastAsia="zh-CN"/>
        </w:rPr>
        <w:t>，</w:t>
      </w:r>
      <w:r>
        <w:rPr>
          <w:rFonts w:hint="eastAsia" w:ascii="Times New Roman" w:hAnsi="Times New Roman" w:eastAsia="方正仿宋_GBK" w:cs="方正仿宋_GBK"/>
          <w:sz w:val="30"/>
          <w:szCs w:val="30"/>
        </w:rPr>
        <w:t>成为嵌入全球资产配置的“底层模块”。</w:t>
      </w:r>
      <w:r>
        <w:rPr>
          <w:rFonts w:hint="eastAsia" w:ascii="Times New Roman" w:hAnsi="Times New Roman" w:eastAsia="方正仿宋_GBK" w:cs="方正仿宋_GBK"/>
          <w:sz w:val="30"/>
          <w:szCs w:val="30"/>
          <w:lang w:eastAsia="zh-CN"/>
        </w:rPr>
        <w:t>该“</w:t>
      </w:r>
      <w:r>
        <w:rPr>
          <w:rFonts w:hint="eastAsia" w:ascii="Times New Roman" w:hAnsi="Times New Roman" w:eastAsia="方正仿宋_GBK" w:cs="方正仿宋_GBK"/>
          <w:sz w:val="30"/>
          <w:szCs w:val="30"/>
        </w:rPr>
        <w:t>日元套利交易</w:t>
      </w:r>
      <w:r>
        <w:rPr>
          <w:rFonts w:hint="eastAsia" w:ascii="Times New Roman" w:hAnsi="Times New Roman" w:eastAsia="方正仿宋_GBK" w:cs="方正仿宋_GBK"/>
          <w:sz w:val="30"/>
          <w:szCs w:val="30"/>
          <w:lang w:eastAsia="zh-CN"/>
        </w:rPr>
        <w:t>”</w:t>
      </w:r>
      <w:r>
        <w:rPr>
          <w:rFonts w:hint="eastAsia" w:ascii="Times New Roman" w:hAnsi="Times New Roman" w:eastAsia="方正仿宋_GBK" w:cs="方正仿宋_GBK"/>
          <w:sz w:val="30"/>
          <w:szCs w:val="30"/>
        </w:rPr>
        <w:t>（</w:t>
      </w:r>
      <w:r>
        <w:rPr>
          <w:rFonts w:hint="eastAsia" w:ascii="Times New Roman" w:hAnsi="Times New Roman" w:eastAsia="方正仿宋_GBK" w:cs="方正仿宋_GBK"/>
          <w:sz w:val="30"/>
          <w:szCs w:val="30"/>
          <w:lang w:val="en-US"/>
        </w:rPr>
        <w:t>Y</w:t>
      </w:r>
      <w:r>
        <w:rPr>
          <w:rFonts w:hint="eastAsia" w:ascii="Times New Roman" w:hAnsi="Times New Roman" w:eastAsia="方正仿宋_GBK" w:cs="方正仿宋_GBK"/>
          <w:sz w:val="30"/>
          <w:szCs w:val="30"/>
        </w:rPr>
        <w:t xml:space="preserve">en </w:t>
      </w:r>
      <w:r>
        <w:rPr>
          <w:rFonts w:hint="eastAsia" w:ascii="Times New Roman" w:hAnsi="Times New Roman" w:eastAsia="方正仿宋_GBK" w:cs="方正仿宋_GBK"/>
          <w:sz w:val="30"/>
          <w:szCs w:val="30"/>
          <w:lang w:val="en-US"/>
        </w:rPr>
        <w:t>C</w:t>
      </w:r>
      <w:r>
        <w:rPr>
          <w:rFonts w:hint="eastAsia" w:ascii="Times New Roman" w:hAnsi="Times New Roman" w:eastAsia="方正仿宋_GBK" w:cs="方正仿宋_GBK"/>
          <w:sz w:val="30"/>
          <w:szCs w:val="30"/>
        </w:rPr>
        <w:t xml:space="preserve">arry </w:t>
      </w:r>
      <w:r>
        <w:rPr>
          <w:rFonts w:hint="eastAsia" w:ascii="Times New Roman" w:hAnsi="Times New Roman" w:eastAsia="方正仿宋_GBK" w:cs="方正仿宋_GBK"/>
          <w:sz w:val="30"/>
          <w:szCs w:val="30"/>
          <w:lang w:val="en-US"/>
        </w:rPr>
        <w:t>T</w:t>
      </w:r>
      <w:r>
        <w:rPr>
          <w:rFonts w:hint="eastAsia" w:ascii="Times New Roman" w:hAnsi="Times New Roman" w:eastAsia="方正仿宋_GBK" w:cs="方正仿宋_GBK"/>
          <w:sz w:val="30"/>
          <w:szCs w:val="30"/>
        </w:rPr>
        <w:t>rade）的规模一度高达数万亿美元，为全球流动性提供了重要支撑。</w:t>
      </w:r>
      <w:r>
        <w:rPr>
          <w:rFonts w:hint="eastAsia" w:ascii="Times New Roman" w:hAnsi="Times New Roman" w:eastAsia="方正仿宋_GBK" w:cs="方正仿宋_GBK"/>
          <w:sz w:val="30"/>
          <w:szCs w:val="30"/>
          <w:lang w:eastAsia="zh-CN"/>
        </w:rPr>
        <w:t>而</w:t>
      </w:r>
      <w:r>
        <w:rPr>
          <w:rFonts w:hint="eastAsia" w:ascii="Times New Roman" w:hAnsi="Times New Roman" w:eastAsia="方正仿宋_GBK" w:cs="方正仿宋_GBK"/>
          <w:sz w:val="30"/>
          <w:szCs w:val="30"/>
        </w:rPr>
        <w:t>日债收益率作为融资成本的关键信号，一旦显著上行，便会打破套利结构的稳定性。</w:t>
      </w:r>
    </w:p>
    <w:p w14:paraId="37BF6B4D">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2025年下半年以来，随着加息路径明朗化、日美利差收窄以及高市财政扩张引发的</w:t>
      </w:r>
      <w:r>
        <w:rPr>
          <w:rFonts w:hint="eastAsia" w:ascii="Times New Roman" w:hAnsi="Times New Roman" w:eastAsia="方正仿宋_GBK" w:cs="方正仿宋_GBK"/>
          <w:sz w:val="30"/>
          <w:szCs w:val="30"/>
          <w:lang w:eastAsia="zh-CN"/>
        </w:rPr>
        <w:t>国债</w:t>
      </w:r>
      <w:r>
        <w:rPr>
          <w:rFonts w:hint="eastAsia" w:ascii="Times New Roman" w:hAnsi="Times New Roman" w:eastAsia="方正仿宋_GBK" w:cs="方正仿宋_GBK"/>
          <w:sz w:val="30"/>
          <w:szCs w:val="30"/>
        </w:rPr>
        <w:t>收益率上行，日元套利交易头寸出现被动去杠杆迹象。典型过程为：投资者出售由日元融资支持的风险资产，回</w:t>
      </w:r>
      <w:r>
        <w:rPr>
          <w:rFonts w:hint="eastAsia" w:ascii="Times New Roman" w:hAnsi="Times New Roman" w:eastAsia="方正仿宋_GBK" w:cs="方正仿宋_GBK"/>
          <w:sz w:val="30"/>
          <w:szCs w:val="30"/>
          <w:lang w:eastAsia="zh-CN"/>
        </w:rPr>
        <w:t>笼</w:t>
      </w:r>
      <w:r>
        <w:rPr>
          <w:rFonts w:hint="eastAsia" w:ascii="Times New Roman" w:hAnsi="Times New Roman" w:eastAsia="方正仿宋_GBK" w:cs="方正仿宋_GBK"/>
          <w:sz w:val="30"/>
          <w:szCs w:val="30"/>
        </w:rPr>
        <w:t>资金</w:t>
      </w:r>
      <w:r>
        <w:rPr>
          <w:rFonts w:hint="eastAsia" w:ascii="Times New Roman" w:hAnsi="Times New Roman" w:eastAsia="方正仿宋_GBK" w:cs="方正仿宋_GBK"/>
          <w:sz w:val="30"/>
          <w:szCs w:val="30"/>
          <w:lang w:eastAsia="zh-CN"/>
        </w:rPr>
        <w:t>后</w:t>
      </w:r>
      <w:r>
        <w:rPr>
          <w:rFonts w:hint="eastAsia" w:ascii="Times New Roman" w:hAnsi="Times New Roman" w:eastAsia="方正仿宋_GBK" w:cs="方正仿宋_GBK"/>
          <w:sz w:val="30"/>
          <w:szCs w:val="30"/>
        </w:rPr>
        <w:t>兑</w:t>
      </w:r>
      <w:r>
        <w:rPr>
          <w:rFonts w:hint="eastAsia" w:ascii="Times New Roman" w:hAnsi="Times New Roman" w:eastAsia="方正仿宋_GBK" w:cs="方正仿宋_GBK"/>
          <w:sz w:val="30"/>
          <w:szCs w:val="30"/>
          <w:lang w:eastAsia="zh-CN"/>
        </w:rPr>
        <w:t>换</w:t>
      </w:r>
      <w:r>
        <w:rPr>
          <w:rFonts w:hint="eastAsia" w:ascii="Times New Roman" w:hAnsi="Times New Roman" w:eastAsia="方正仿宋_GBK" w:cs="方正仿宋_GBK"/>
          <w:sz w:val="30"/>
          <w:szCs w:val="30"/>
        </w:rPr>
        <w:t>日元偿债，导致日元需求短期激增</w:t>
      </w:r>
      <w:r>
        <w:rPr>
          <w:rFonts w:hint="eastAsia" w:ascii="Times New Roman" w:hAnsi="Times New Roman" w:eastAsia="方正仿宋_GBK" w:cs="方正仿宋_GBK"/>
          <w:sz w:val="30"/>
          <w:szCs w:val="30"/>
          <w:lang w:eastAsia="zh-CN"/>
        </w:rPr>
        <w:t>，</w:t>
      </w:r>
      <w:r>
        <w:rPr>
          <w:rFonts w:hint="eastAsia" w:ascii="Times New Roman" w:hAnsi="Times New Roman" w:eastAsia="方正仿宋_GBK" w:cs="方正仿宋_GBK"/>
          <w:sz w:val="30"/>
          <w:szCs w:val="30"/>
        </w:rPr>
        <w:t>汇率升值；</w:t>
      </w:r>
      <w:r>
        <w:rPr>
          <w:rFonts w:hint="eastAsia" w:ascii="Times New Roman" w:hAnsi="Times New Roman" w:eastAsia="方正仿宋_GBK" w:cs="方正仿宋_GBK"/>
          <w:sz w:val="30"/>
          <w:szCs w:val="30"/>
          <w:lang w:eastAsia="zh-CN"/>
        </w:rPr>
        <w:t>日元</w:t>
      </w:r>
      <w:r>
        <w:rPr>
          <w:rFonts w:hint="eastAsia" w:ascii="Times New Roman" w:hAnsi="Times New Roman" w:eastAsia="方正仿宋_GBK" w:cs="方正仿宋_GBK"/>
          <w:sz w:val="30"/>
          <w:szCs w:val="30"/>
        </w:rPr>
        <w:t>升值进一步放大尚未平仓头寸的汇兑损失，触发更多强制平仓，形成自我强化循环。这一机制并非线性调整，往往以集中释放形式显现。</w:t>
      </w:r>
    </w:p>
    <w:p w14:paraId="33B39A9E">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一个典型的例子是2024年8月的“黑色星期一”事件</w:t>
      </w:r>
      <w:r>
        <w:rPr>
          <w:rFonts w:hint="eastAsia" w:ascii="Times New Roman" w:hAnsi="Times New Roman" w:eastAsia="方正仿宋_GBK" w:cs="方正仿宋_GBK"/>
          <w:sz w:val="30"/>
          <w:szCs w:val="30"/>
          <w:lang w:eastAsia="zh-CN"/>
        </w:rPr>
        <w:t>。当时，</w:t>
      </w:r>
      <w:r>
        <w:rPr>
          <w:rFonts w:hint="eastAsia" w:ascii="Times New Roman" w:hAnsi="Times New Roman" w:eastAsia="方正仿宋_GBK" w:cs="方正仿宋_GBK"/>
          <w:sz w:val="30"/>
          <w:szCs w:val="30"/>
        </w:rPr>
        <w:t>日本央行</w:t>
      </w:r>
      <w:r>
        <w:rPr>
          <w:rFonts w:hint="eastAsia" w:ascii="Times New Roman" w:hAnsi="Times New Roman" w:eastAsia="方正仿宋_GBK" w:cs="方正仿宋_GBK"/>
          <w:sz w:val="30"/>
          <w:szCs w:val="30"/>
          <w:lang w:eastAsia="zh-CN"/>
        </w:rPr>
        <w:t>在</w:t>
      </w:r>
      <w:r>
        <w:rPr>
          <w:rFonts w:hint="eastAsia" w:ascii="Times New Roman" w:hAnsi="Times New Roman" w:eastAsia="方正仿宋_GBK" w:cs="方正仿宋_GBK"/>
          <w:sz w:val="30"/>
          <w:szCs w:val="30"/>
        </w:rPr>
        <w:t>7月底意外加息并缩减购债规模后，打破了</w:t>
      </w:r>
      <w:r>
        <w:rPr>
          <w:rFonts w:hint="eastAsia" w:ascii="Times New Roman" w:hAnsi="Times New Roman" w:eastAsia="方正仿宋_GBK" w:cs="方正仿宋_GBK"/>
          <w:sz w:val="30"/>
          <w:szCs w:val="30"/>
          <w:lang w:eastAsia="zh-CN"/>
        </w:rPr>
        <w:t>日元</w:t>
      </w:r>
      <w:r>
        <w:rPr>
          <w:rFonts w:hint="eastAsia" w:ascii="Times New Roman" w:hAnsi="Times New Roman" w:eastAsia="方正仿宋_GBK" w:cs="方正仿宋_GBK"/>
          <w:sz w:val="30"/>
          <w:szCs w:val="30"/>
        </w:rPr>
        <w:t>长期作为廉价融资货币的稳定预期，日元在短期内快速升值逾12%，导致大规模日元套利交易被动平仓。投资者被迫出售由日元融资支持的风险资产（如美股、科技股和新兴市场品种），资金回</w:t>
      </w:r>
      <w:r>
        <w:rPr>
          <w:rFonts w:hint="eastAsia" w:ascii="Times New Roman" w:hAnsi="Times New Roman" w:eastAsia="方正仿宋_GBK" w:cs="方正仿宋_GBK"/>
          <w:sz w:val="30"/>
          <w:szCs w:val="30"/>
          <w:lang w:eastAsia="zh-CN"/>
        </w:rPr>
        <w:t>笼</w:t>
      </w:r>
      <w:r>
        <w:rPr>
          <w:rFonts w:hint="eastAsia" w:ascii="Times New Roman" w:hAnsi="Times New Roman" w:eastAsia="方正仿宋_GBK" w:cs="方正仿宋_GBK"/>
          <w:sz w:val="30"/>
          <w:szCs w:val="30"/>
        </w:rPr>
        <w:t>兑换日元偿债，形成日元进一步升值与资产抛售的自我强化循环，最终引发全球股市同步剧烈调整</w:t>
      </w:r>
      <w:r>
        <w:rPr>
          <w:rFonts w:hint="eastAsia" w:ascii="Times New Roman" w:hAnsi="Times New Roman" w:eastAsia="方正仿宋_GBK" w:cs="方正仿宋_GBK"/>
          <w:sz w:val="30"/>
          <w:szCs w:val="30"/>
          <w:lang w:eastAsia="zh-CN"/>
        </w:rPr>
        <w:t>：</w:t>
      </w:r>
      <w:r>
        <w:rPr>
          <w:rFonts w:hint="eastAsia" w:ascii="Times New Roman" w:hAnsi="Times New Roman" w:eastAsia="方正仿宋_GBK" w:cs="方正仿宋_GBK"/>
          <w:sz w:val="30"/>
          <w:szCs w:val="30"/>
        </w:rPr>
        <w:t>日经225指数单日暴跌12.4%，美股和新兴市场也出现显著回调，波动率指标VIX一度飙升至疫情以来高位。这一事件清晰展示了日元套利交易逆转的集中释放特征，尽管后续央行表态缓和了升值势头，但它已证明政策路径的任何边际变化，都可能通过资金结构传导放大至全球风险资产定价。</w:t>
      </w:r>
    </w:p>
    <w:p w14:paraId="4F1570EC">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2025-2026年，尽管未重现2024年8月那种剧烈崩盘，但日元套利交易的退潮已从</w:t>
      </w:r>
      <w:r>
        <w:rPr>
          <w:rFonts w:hint="eastAsia" w:ascii="Times New Roman" w:hAnsi="Times New Roman" w:eastAsia="方正仿宋_GBK" w:cs="方正仿宋_GBK"/>
          <w:sz w:val="30"/>
          <w:szCs w:val="30"/>
          <w:lang w:eastAsia="zh-CN"/>
        </w:rPr>
        <w:t>小规模参与者</w:t>
      </w:r>
      <w:r>
        <w:rPr>
          <w:rFonts w:hint="eastAsia" w:ascii="Times New Roman" w:hAnsi="Times New Roman" w:eastAsia="方正仿宋_GBK" w:cs="方正仿宋_GBK"/>
          <w:sz w:val="30"/>
          <w:szCs w:val="30"/>
        </w:rPr>
        <w:t>向</w:t>
      </w:r>
      <w:r>
        <w:rPr>
          <w:rFonts w:hint="eastAsia" w:ascii="Times New Roman" w:hAnsi="Times New Roman" w:eastAsia="方正仿宋_GBK" w:cs="方正仿宋_GBK"/>
          <w:sz w:val="30"/>
          <w:szCs w:val="30"/>
          <w:lang w:eastAsia="zh-CN"/>
        </w:rPr>
        <w:t>系统性</w:t>
      </w:r>
      <w:r>
        <w:rPr>
          <w:rFonts w:hint="eastAsia" w:ascii="Times New Roman" w:hAnsi="Times New Roman" w:eastAsia="方正仿宋_GBK" w:cs="方正仿宋_GBK"/>
          <w:sz w:val="30"/>
          <w:szCs w:val="30"/>
        </w:rPr>
        <w:t>机构逐步传导。</w:t>
      </w:r>
    </w:p>
    <w:p w14:paraId="2E60D617">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lang w:eastAsia="zh-CN"/>
        </w:rPr>
      </w:pPr>
      <w:r>
        <w:rPr>
          <w:rFonts w:hint="eastAsia" w:ascii="Times New Roman" w:hAnsi="Times New Roman" w:eastAsia="方正仿宋_GBK" w:cs="方正仿宋_GBK"/>
          <w:sz w:val="30"/>
          <w:szCs w:val="30"/>
          <w:lang w:eastAsia="zh-CN"/>
        </w:rPr>
        <w:t>比如日本寿险公司等大型长期投资机构，它们持有约7000亿美元的海外资产（主要是美元计价的美国国债），这些资产的价值最终是用日元来计算的。如果日元大幅升值，这些海外资产换算成日元后的金额就会明显减少，造成账面损失。</w:t>
      </w:r>
    </w:p>
    <w:p w14:paraId="2818AC89">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lang w:eastAsia="zh-CN"/>
        </w:rPr>
      </w:pPr>
      <w:r>
        <w:rPr>
          <w:rFonts w:hint="eastAsia" w:ascii="Times New Roman" w:hAnsi="Times New Roman" w:eastAsia="方正仿宋_GBK" w:cs="方正仿宋_GBK"/>
          <w:sz w:val="30"/>
          <w:szCs w:val="30"/>
          <w:lang w:eastAsia="zh-CN"/>
        </w:rPr>
        <w:t>为了避免这种汇率损失，机构们会使用外汇衍生工具（最常见的是远期合约）来进行对冲。简单来说，对冲的操作就是：提前在远期市场约定一个未来的汇率，在那个日期用固定的汇率把美元卖掉、换回日元。这样，无论汇率未来如何变化，成本与收益都已被锁定。</w:t>
      </w:r>
    </w:p>
    <w:p w14:paraId="36C53922">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lang w:eastAsia="zh-CN"/>
        </w:rPr>
      </w:pPr>
      <w:r>
        <w:rPr>
          <w:rFonts w:hint="eastAsia" w:ascii="Times New Roman" w:hAnsi="Times New Roman" w:eastAsia="方正仿宋_GBK" w:cs="方正仿宋_GBK"/>
          <w:sz w:val="30"/>
          <w:szCs w:val="30"/>
          <w:lang w:eastAsia="zh-CN"/>
        </w:rPr>
        <w:t>“避险比率”，则是指机构们将多大比例的海外资产做了这种对冲保护。过去，这个比率通常保持在50%</w:t>
      </w:r>
      <w:r>
        <w:rPr>
          <w:rFonts w:hint="eastAsia" w:ascii="Times New Roman" w:hAnsi="Times New Roman" w:eastAsia="方正仿宋_GBK" w:cs="方正仿宋_GBK"/>
          <w:sz w:val="30"/>
          <w:szCs w:val="30"/>
          <w:lang w:val="en-US" w:eastAsia="zh-CN"/>
        </w:rPr>
        <w:t>-</w:t>
      </w:r>
      <w:r>
        <w:rPr>
          <w:rFonts w:hint="eastAsia" w:ascii="Times New Roman" w:hAnsi="Times New Roman" w:eastAsia="方正仿宋_GBK" w:cs="方正仿宋_GBK"/>
          <w:sz w:val="30"/>
          <w:szCs w:val="30"/>
          <w:lang w:eastAsia="zh-CN"/>
        </w:rPr>
        <w:t>60%以上，意味着至少一半以上的资产风险被“锁住”了。</w:t>
      </w:r>
    </w:p>
    <w:p w14:paraId="3FFD5CF8">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lang w:eastAsia="zh-CN"/>
        </w:rPr>
      </w:pPr>
      <w:r>
        <w:rPr>
          <w:rFonts w:hint="eastAsia" w:ascii="Times New Roman" w:hAnsi="Times New Roman" w:eastAsia="方正仿宋_GBK" w:cs="方正仿宋_GBK"/>
          <w:sz w:val="30"/>
          <w:szCs w:val="30"/>
          <w:lang w:eastAsia="zh-CN"/>
        </w:rPr>
        <w:t>但现在情况发生了变化。根据2025年的数据，日本九大寿险公司的平均避险比率已降到45%～46%左右，部分阶段甚至低至44.4%，创下13年来的最低水平。这意味着它们现在只对冲了不到一半的海外资产敞口，剩余一半以上完全没有对冲保护，相当于“裸奔”承受日元升值的风险。</w:t>
      </w:r>
    </w:p>
    <w:p w14:paraId="666FE1AF">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lang w:eastAsia="zh-CN"/>
        </w:rPr>
      </w:pPr>
      <w:r>
        <w:rPr>
          <w:rFonts w:hint="eastAsia" w:ascii="Times New Roman" w:hAnsi="Times New Roman" w:eastAsia="方正仿宋_GBK" w:cs="方正仿宋_GBK"/>
          <w:sz w:val="30"/>
          <w:szCs w:val="30"/>
          <w:lang w:eastAsia="zh-CN"/>
        </w:rPr>
        <w:t>它们为什么降低对冲比例呢？主要有两个原因：</w:t>
      </w:r>
    </w:p>
    <w:p w14:paraId="2DB48F89">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lang w:eastAsia="zh-CN"/>
        </w:rPr>
      </w:pPr>
      <w:r>
        <w:rPr>
          <w:rFonts w:hint="eastAsia" w:ascii="方正楷体_GB2312" w:hAnsi="方正楷体_GB2312" w:eastAsia="方正楷体_GB2312" w:cs="方正楷体_GB2312"/>
          <w:sz w:val="30"/>
          <w:szCs w:val="30"/>
          <w:lang w:eastAsia="zh-CN"/>
        </w:rPr>
        <w:t>第一，对冲成本越来越高。</w:t>
      </w:r>
      <w:r>
        <w:rPr>
          <w:rFonts w:hint="eastAsia" w:ascii="Times New Roman" w:hAnsi="Times New Roman" w:eastAsia="方正仿宋_GBK" w:cs="方正仿宋_GBK"/>
          <w:sz w:val="30"/>
          <w:szCs w:val="30"/>
          <w:lang w:eastAsia="zh-CN"/>
        </w:rPr>
        <w:t>在远期市场提前“锁汇率”需要支付额外费用，这笔费用就像买汇率保险的保费：因为美国利率远高于日本（日美利差大），市场会把未来汇率定价得对日本投资者不利——未来用美元换回日元时，1美元能换到的日元更少。因此，日本投资者要提前多付钱才能锁定汇率。这笔额外成本有时吃掉海外资产收益率的大部分，甚至让对冲不划算。所以，机构们强烈想省下这笔高额“保险费”。</w:t>
      </w:r>
    </w:p>
    <w:p w14:paraId="65D507AF">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lang w:eastAsia="zh-CN"/>
        </w:rPr>
      </w:pPr>
      <w:r>
        <w:rPr>
          <w:rFonts w:hint="eastAsia" w:ascii="方正楷体_GB2312" w:hAnsi="方正楷体_GB2312" w:eastAsia="方正楷体_GB2312" w:cs="方正楷体_GB2312"/>
          <w:sz w:val="30"/>
          <w:szCs w:val="30"/>
          <w:lang w:eastAsia="zh-CN"/>
        </w:rPr>
        <w:t>第二，机构们对日元汇率的判断偏向乐观：认为日元短期内不会大幅升值，甚至可能继续偏弱或维持震荡。</w:t>
      </w:r>
      <w:r>
        <w:rPr>
          <w:rFonts w:hint="eastAsia" w:ascii="Times New Roman" w:hAnsi="Times New Roman" w:eastAsia="方正仿宋_GBK" w:cs="方正仿宋_GBK"/>
          <w:sz w:val="30"/>
          <w:szCs w:val="30"/>
          <w:lang w:eastAsia="zh-CN"/>
        </w:rPr>
        <w:t>因此，它们宁愿少花对冲成本，把钱省下来提升整体投资回报，同时“赌”日元不会出现极端升值。</w:t>
      </w:r>
    </w:p>
    <w:p w14:paraId="46836878">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lang w:eastAsia="zh-CN"/>
        </w:rPr>
      </w:pPr>
      <w:r>
        <w:rPr>
          <w:rFonts w:hint="eastAsia" w:ascii="Times New Roman" w:hAnsi="Times New Roman" w:eastAsia="方正仿宋_GBK" w:cs="方正仿宋_GBK"/>
          <w:sz w:val="30"/>
          <w:szCs w:val="30"/>
          <w:lang w:eastAsia="zh-CN"/>
        </w:rPr>
        <w:t>然而，一旦日元出现明显升值迹象（如突破关键阻力位145附近），升值趋势便可能持续，未避险部位的汇率损失将变得不可接受，这些机构将被迫实施大规模避险回补——即买入日元远期/卖出美元远期，以对冲原来的未覆盖敞口；同时，原有的已避险头寸到期或需展期时，也会滚动买入更多日元远期（即续约或新建对冲合约）。二者叠加，会释放数百亿到上千亿美元的日元买盘，导致日元进一步急升、产生更多损失，又不得不实施更多回补……形成恶性循环，汇率波动被进一步放大。</w:t>
      </w:r>
    </w:p>
    <w:p w14:paraId="4285EABB">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lang w:eastAsia="zh-CN"/>
        </w:rPr>
      </w:pPr>
      <w:r>
        <w:rPr>
          <w:rFonts w:hint="eastAsia" w:ascii="Times New Roman" w:hAnsi="Times New Roman" w:eastAsia="方正仿宋_GBK" w:cs="方正仿宋_GBK"/>
          <w:sz w:val="30"/>
          <w:szCs w:val="30"/>
          <w:lang w:eastAsia="zh-CN"/>
        </w:rPr>
        <w:t>因此，日本政策信号已成为全球投资者仓位管理的“触发器”之一。只要剩余的日元套利交易头寸存在，任何日本利率或财政路径的微调——如央行会议暗示加息节奏加快、“春斗”工资数据超预期，或高市财政刺激规模超出市场预估——都会被迅速解读为“日元融资成本上升、升值概率加大”的预警。投资者随之快速调整仓位：卖出由日元融资支持的风险资产（如美股成长股、科技股、新兴市场股票或高收益债券），回笼资金兑换日元降低敞口。这一过程往往在几天内集中发生，导致原本相对独立的资产类别突然同步下跌（相关性显著上升），价格波动幅度也明显加大（VIX等指标快速抬升）。</w:t>
      </w:r>
    </w:p>
    <w:p w14:paraId="19A71539">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lang w:eastAsia="zh-CN"/>
        </w:rPr>
      </w:pPr>
      <w:r>
        <w:rPr>
          <w:rFonts w:hint="eastAsia" w:ascii="Times New Roman" w:hAnsi="Times New Roman" w:eastAsia="方正仿宋_GBK" w:cs="方正仿宋_GBK"/>
          <w:sz w:val="30"/>
          <w:szCs w:val="30"/>
          <w:lang w:eastAsia="zh-CN"/>
        </w:rPr>
        <w:t>这正是日元角色转变的直接体现：从过去三十年的“稳定、可预测的全球融资工具”，逐步变成一个“波动源头”，其政策边际变化通过杠杆资金的再配置，直接放大全球风险资产的相关性和波动性。</w:t>
      </w:r>
    </w:p>
    <w:p w14:paraId="603CD406">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lang w:eastAsia="zh-CN"/>
        </w:rPr>
      </w:pPr>
      <w:r>
        <w:rPr>
          <w:rFonts w:hint="eastAsia" w:ascii="Times New Roman" w:hAnsi="Times New Roman" w:eastAsia="方正仿宋_GBK" w:cs="方正仿宋_GBK"/>
          <w:sz w:val="30"/>
          <w:szCs w:val="30"/>
          <w:lang w:eastAsia="zh-CN"/>
        </w:rPr>
        <w:t>长期以来，日本一直是全球最大净债权国，其海外净资产规模在约为3.66万亿美元（2025年9月），约合日本GDP的70-80%。因为日元贬值，在2025年被德国短暂超越，暂列全球第二。日本的海外资产主要包括企业海外直接投资、证券投资（如美债）和银行贷款，由日本金融机构、企业和养老基金持有。每年，日本从海外获得大量投资收益，2025年经常账户盈余创纪录达31.9万亿日元（约2030亿美元），占GDP约4-5%，为国内高债务提供重要缓冲。然而，这一“海外红利”难以逆转日元套利交易的结构性退潮：日元升值会使海外资产的日元价值缩水，全球传导风险仍通过融资成本上升和流动性收缩放大，政策协调的两难局面并未缓解。</w:t>
      </w:r>
    </w:p>
    <w:p w14:paraId="4776B960">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高市宽财政的推出，正是加速这一退潮过程的现实催化剂。它推高国债供给压力，迫使收益率曲线整体抬升；若央行因抗击通胀而加速紧缩，则进一步压缩财政空间。历史经验显示，这种财政-货币冲突往往通过债券市场重新定价体现，而非立即引发危机。当前10年期收益率稳定在2.14%-2.15%、30年期一度逼近3.3%以上，已反映市场对债务可持续性的重新评估。“寡妇交易”不再是单纯的“单向陷阱”，而是成为检验日本政策协调能力的持久压力测试。</w:t>
      </w:r>
    </w:p>
    <w:p w14:paraId="6C68EE56">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日本国债市场的这一轮演变表明，其变化已从国内技术调整，逐步演变为全球流动性与风险定价的结构性变量。</w:t>
      </w:r>
    </w:p>
    <w:p w14:paraId="51D89EB6">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b/>
          <w:bCs/>
          <w:color w:val="0000FF"/>
          <w:sz w:val="30"/>
          <w:szCs w:val="30"/>
          <w:lang w:eastAsia="zh-CN"/>
        </w:rPr>
      </w:pPr>
      <w:r>
        <w:rPr>
          <w:rFonts w:hint="eastAsia" w:ascii="Times New Roman" w:hAnsi="Times New Roman" w:eastAsia="方正仿宋_GBK" w:cs="方正仿宋_GBK"/>
          <w:sz w:val="30"/>
          <w:szCs w:val="30"/>
        </w:rPr>
        <w:drawing>
          <wp:inline distT="0" distB="0" distL="114300" distR="114300">
            <wp:extent cx="4398645" cy="2933065"/>
            <wp:effectExtent l="0" t="0" r="190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4398645" cy="2933065"/>
                    </a:xfrm>
                    <a:prstGeom prst="rect">
                      <a:avLst/>
                    </a:prstGeom>
                    <a:noFill/>
                    <a:ln>
                      <a:noFill/>
                    </a:ln>
                  </pic:spPr>
                </pic:pic>
              </a:graphicData>
            </a:graphic>
          </wp:inline>
        </w:drawing>
      </w:r>
    </w:p>
    <w:p w14:paraId="33A683BC">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b/>
          <w:bCs/>
          <w:color w:val="0000FF"/>
          <w:sz w:val="30"/>
          <w:szCs w:val="30"/>
        </w:rPr>
      </w:pPr>
      <w:r>
        <w:rPr>
          <w:rFonts w:hint="eastAsia" w:ascii="方正黑体_GBK" w:hAnsi="方正黑体_GBK" w:eastAsia="方正黑体_GBK" w:cs="方正黑体_GBK"/>
          <w:b w:val="0"/>
          <w:bCs w:val="0"/>
          <w:color w:val="auto"/>
          <w:sz w:val="30"/>
          <w:szCs w:val="30"/>
          <w:lang w:eastAsia="zh-CN"/>
        </w:rPr>
        <w:t>四</w:t>
      </w:r>
      <w:r>
        <w:rPr>
          <w:rFonts w:hint="eastAsia" w:ascii="方正黑体_GBK" w:hAnsi="方正黑体_GBK" w:eastAsia="方正黑体_GBK" w:cs="方正黑体_GBK"/>
          <w:b w:val="0"/>
          <w:bCs w:val="0"/>
          <w:color w:val="auto"/>
          <w:sz w:val="30"/>
          <w:szCs w:val="30"/>
        </w:rPr>
        <w:t>、结语：日本的十字路口，也是全球的镜子</w:t>
      </w:r>
    </w:p>
    <w:p w14:paraId="2C9288FB">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高市早苗试图复制安倍时代的“宽财政+强增长”奇迹，却在完全不同的宏观环境下押下重注。5500亿美元的对美直接投资承诺，或许能在短期内换取贸易喘息和关税豁免，却加速了国内资本外流，加剧日元承压；21.3万亿日元的经济刺激计划，或许能在几个季度内稳住民意支持和GDP数据，却难以重获市场对日元汇率和日本国债的长期信心。</w:t>
      </w:r>
    </w:p>
    <w:p w14:paraId="0717AA67">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时空已变</w:t>
      </w:r>
      <w:r>
        <w:rPr>
          <w:rFonts w:hint="eastAsia" w:ascii="Times New Roman" w:hAnsi="Times New Roman" w:eastAsia="方正仿宋_GBK" w:cs="方正仿宋_GBK"/>
          <w:sz w:val="30"/>
          <w:szCs w:val="30"/>
          <w:lang w:eastAsia="zh-CN"/>
        </w:rPr>
        <w:t>，</w:t>
      </w:r>
      <w:r>
        <w:rPr>
          <w:rFonts w:hint="eastAsia" w:ascii="Times New Roman" w:hAnsi="Times New Roman" w:eastAsia="方正仿宋_GBK" w:cs="方正仿宋_GBK"/>
          <w:sz w:val="30"/>
          <w:szCs w:val="30"/>
        </w:rPr>
        <w:t>通胀不再是可控的“温和刺激”，而是输入型压力与工资滞后的现实；央行不再是无限接盘侠，而是被迫在物价稳定与金融稳定之间艰难权衡；日元也不再是全球流动性体系中“稳定、可预测”的融资工具，而是成为波动源头与传导放大器。</w:t>
      </w:r>
    </w:p>
    <w:p w14:paraId="63559BB9">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对全球投资者而言，日本当前的困局提供了</w:t>
      </w:r>
      <w:r>
        <w:rPr>
          <w:rFonts w:hint="eastAsia" w:ascii="Times New Roman" w:hAnsi="Times New Roman" w:eastAsia="方正仿宋_GBK" w:cs="方正仿宋_GBK"/>
          <w:sz w:val="30"/>
          <w:szCs w:val="30"/>
          <w:lang w:eastAsia="zh-CN"/>
        </w:rPr>
        <w:t>以下</w:t>
      </w:r>
      <w:r>
        <w:rPr>
          <w:rFonts w:hint="eastAsia" w:ascii="Times New Roman" w:hAnsi="Times New Roman" w:eastAsia="方正仿宋_GBK" w:cs="方正仿宋_GBK"/>
          <w:sz w:val="30"/>
          <w:szCs w:val="30"/>
        </w:rPr>
        <w:t>清晰而深刻的启示：</w:t>
      </w:r>
    </w:p>
    <w:p w14:paraId="221F757D">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方正楷体_GBK" w:hAnsi="方正楷体_GBK" w:eastAsia="方正楷体_GBK" w:cs="方正楷体_GBK"/>
          <w:sz w:val="30"/>
          <w:szCs w:val="30"/>
          <w:lang w:val="en-US"/>
        </w:rPr>
        <w:t xml:space="preserve">1. </w:t>
      </w:r>
      <w:r>
        <w:rPr>
          <w:rFonts w:hint="eastAsia" w:ascii="方正楷体_GBK" w:hAnsi="方正楷体_GBK" w:eastAsia="方正楷体_GBK" w:cs="方正楷体_GBK"/>
          <w:sz w:val="30"/>
          <w:szCs w:val="30"/>
        </w:rPr>
        <w:t>“日元天然融资货币”的旧信仰必须彻底抛弃。</w:t>
      </w:r>
      <w:r>
        <w:rPr>
          <w:rFonts w:hint="eastAsia" w:ascii="Times New Roman" w:hAnsi="Times New Roman" w:eastAsia="方正仿宋_GBK" w:cs="方正仿宋_GBK"/>
          <w:sz w:val="30"/>
          <w:szCs w:val="30"/>
        </w:rPr>
        <w:t>过去三十年的低利率制度承诺已不可逆转地松动，日元套利交易的退潮不再是周期性调整，而是结构性退潮。</w:t>
      </w:r>
    </w:p>
    <w:p w14:paraId="3604540F">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方正楷体_GBK" w:hAnsi="方正楷体_GBK" w:eastAsia="方正楷体_GBK" w:cs="方正楷体_GBK"/>
          <w:sz w:val="30"/>
          <w:szCs w:val="30"/>
          <w:lang w:val="en-US"/>
        </w:rPr>
        <w:t xml:space="preserve">2. </w:t>
      </w:r>
      <w:r>
        <w:rPr>
          <w:rFonts w:hint="eastAsia" w:ascii="方正楷体_GBK" w:hAnsi="方正楷体_GBK" w:eastAsia="方正楷体_GBK" w:cs="方正楷体_GBK"/>
          <w:sz w:val="30"/>
          <w:szCs w:val="30"/>
        </w:rPr>
        <w:t>地缘政治成本必须全面纳入估值模型。</w:t>
      </w:r>
      <w:r>
        <w:rPr>
          <w:rFonts w:hint="eastAsia" w:ascii="Times New Roman" w:hAnsi="Times New Roman" w:eastAsia="方正仿宋_GBK" w:cs="方正仿宋_GBK"/>
          <w:sz w:val="30"/>
          <w:szCs w:val="30"/>
        </w:rPr>
        <w:t>日本5500亿美元对美投资承诺提醒我们，贸易保护主义、地缘博弈不再是外部变量，而是直接影响资本流动、汇率路径和融资成本的内生因素。</w:t>
      </w:r>
    </w:p>
    <w:p w14:paraId="0F7707BB">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方正楷体_GBK" w:hAnsi="方正楷体_GBK" w:eastAsia="方正楷体_GBK" w:cs="方正楷体_GBK"/>
          <w:sz w:val="30"/>
          <w:szCs w:val="30"/>
          <w:lang w:val="en-US"/>
        </w:rPr>
        <w:t xml:space="preserve">3. </w:t>
      </w:r>
      <w:r>
        <w:rPr>
          <w:rFonts w:hint="eastAsia" w:ascii="方正楷体_GBK" w:hAnsi="方正楷体_GBK" w:eastAsia="方正楷体_GBK" w:cs="方正楷体_GBK"/>
          <w:sz w:val="30"/>
          <w:szCs w:val="30"/>
        </w:rPr>
        <w:t>警惕“全球流动性收缩只是假象”。</w:t>
      </w:r>
      <w:r>
        <w:rPr>
          <w:rFonts w:hint="eastAsia" w:ascii="Times New Roman" w:hAnsi="Times New Roman" w:eastAsia="方正仿宋_GBK" w:cs="方正仿宋_GBK"/>
          <w:sz w:val="30"/>
          <w:szCs w:val="30"/>
        </w:rPr>
        <w:t>美联储降息周期开启后，许多人认为流动性将重新充裕，但日元去杠杆的退潮效应可能对冲部分宽松，日元作为“隐形紧缩源”的角色正在重现。</w:t>
      </w:r>
    </w:p>
    <w:p w14:paraId="74E4A08E">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方正楷体_GBK" w:hAnsi="方正楷体_GBK" w:eastAsia="方正楷体_GBK" w:cs="方正楷体_GBK"/>
          <w:sz w:val="30"/>
          <w:szCs w:val="30"/>
          <w:lang w:val="en-US"/>
        </w:rPr>
        <w:t xml:space="preserve">4. </w:t>
      </w:r>
      <w:r>
        <w:rPr>
          <w:rFonts w:hint="eastAsia" w:ascii="方正楷体_GBK" w:hAnsi="方正楷体_GBK" w:eastAsia="方正楷体_GBK" w:cs="方正楷体_GBK"/>
          <w:sz w:val="30"/>
          <w:szCs w:val="30"/>
        </w:rPr>
        <w:t>应以日本为镜，坚守财政纪律与货币政策主权。</w:t>
      </w:r>
      <w:r>
        <w:rPr>
          <w:rFonts w:hint="eastAsia" w:ascii="Times New Roman" w:hAnsi="Times New Roman" w:eastAsia="方正仿宋_GBK" w:cs="方正仿宋_GBK"/>
          <w:sz w:val="30"/>
          <w:szCs w:val="30"/>
        </w:rPr>
        <w:t>日本的高债务+低利率红利模式在通胀回归后迅速转为负担，证明财政扩张必须与货币框架协调一致，否则容易陷入“不可能三角”的被动局面。</w:t>
      </w:r>
    </w:p>
    <w:p w14:paraId="30BC39DD">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方正楷体_GBK" w:hAnsi="方正楷体_GBK" w:eastAsia="方正楷体_GBK" w:cs="方正楷体_GBK"/>
          <w:sz w:val="30"/>
          <w:szCs w:val="30"/>
          <w:lang w:val="en-US"/>
        </w:rPr>
        <w:t xml:space="preserve">5. </w:t>
      </w:r>
      <w:r>
        <w:rPr>
          <w:rFonts w:hint="eastAsia" w:ascii="方正楷体_GBK" w:hAnsi="方正楷体_GBK" w:eastAsia="方正楷体_GBK" w:cs="方正楷体_GBK"/>
          <w:sz w:val="30"/>
          <w:szCs w:val="30"/>
        </w:rPr>
        <w:t>在逆全球化时代，实物资产与信用资产的天平正在倾斜。</w:t>
      </w:r>
      <w:r>
        <w:rPr>
          <w:rFonts w:hint="eastAsia" w:ascii="Times New Roman" w:hAnsi="Times New Roman" w:eastAsia="方正仿宋_GBK" w:cs="方正仿宋_GBK"/>
          <w:sz w:val="30"/>
          <w:szCs w:val="30"/>
        </w:rPr>
        <w:t>信用扩张依赖的低成本融资环境正在收窄，而拥有核心资源定价权、供应链韧性或实物硬资产的经济体，将获得更强的抗风险能力。</w:t>
      </w:r>
    </w:p>
    <w:p w14:paraId="1E21F258">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在这个比拼资产硬度、</w:t>
      </w:r>
      <w:r>
        <w:rPr>
          <w:rFonts w:hint="eastAsia" w:ascii="Times New Roman" w:hAnsi="Times New Roman" w:eastAsia="方正仿宋_GBK" w:cs="方正仿宋_GBK"/>
          <w:sz w:val="30"/>
          <w:szCs w:val="30"/>
          <w:lang w:eastAsia="zh-CN"/>
        </w:rPr>
        <w:t>决策</w:t>
      </w:r>
      <w:r>
        <w:rPr>
          <w:rFonts w:hint="eastAsia" w:ascii="Times New Roman" w:hAnsi="Times New Roman" w:eastAsia="方正仿宋_GBK" w:cs="方正仿宋_GBK"/>
          <w:sz w:val="30"/>
          <w:szCs w:val="30"/>
        </w:rPr>
        <w:t>定力和政策协调能力的年代，谁能守住财政底线、掌握核心资源定价权、不被地缘政治牵着鼻子走，谁才是最后的赢家。日本正站在十字路口，其选择不仅决定自身命运，也在为全球提供一面清晰的</w:t>
      </w:r>
      <w:r>
        <w:rPr>
          <w:rFonts w:hint="eastAsia" w:ascii="Times New Roman" w:hAnsi="Times New Roman" w:eastAsia="方正仿宋_GBK" w:cs="方正仿宋_GBK"/>
          <w:sz w:val="30"/>
          <w:szCs w:val="30"/>
          <w:lang w:eastAsia="zh-CN"/>
        </w:rPr>
        <w:t>镜像</w:t>
      </w:r>
      <w:r>
        <w:rPr>
          <w:rFonts w:hint="eastAsia" w:ascii="Times New Roman" w:hAnsi="Times New Roman" w:eastAsia="方正仿宋_GBK" w:cs="方正仿宋_GBK"/>
          <w:sz w:val="30"/>
          <w:szCs w:val="30"/>
        </w:rPr>
        <w:t>。</w:t>
      </w:r>
    </w:p>
    <w:p w14:paraId="1533A97F">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r>
        <w:rPr>
          <w:rFonts w:hint="eastAsia" w:ascii="Times New Roman" w:hAnsi="Times New Roman" w:eastAsia="方正楷体_GBK" w:cs="方正楷体_GBK"/>
          <w:b/>
          <w:bCs/>
          <w:color w:val="FF0000"/>
          <w:spacing w:val="0"/>
          <w:kern w:val="2"/>
          <w:sz w:val="30"/>
          <w:szCs w:val="30"/>
          <w:lang w:val="en-US" w:eastAsia="zh-CN" w:bidi="ar-SA"/>
        </w:rPr>
        <w:t>（发展研究部 左亮、周斌）</w:t>
      </w:r>
    </w:p>
    <w:p w14:paraId="24D346FB">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p w14:paraId="3F793E91">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p w14:paraId="56EF312B">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p w14:paraId="14002F95">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p w14:paraId="69A02316">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p>
    <w:p w14:paraId="751E9C6C">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p>
    <w:p w14:paraId="62C9AA9A">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2B82BE35">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7D614175">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r>
        <w:rPr>
          <w:rFonts w:hint="default" w:ascii="Times New Roman" w:hAnsi="Times New Roman" w:eastAsia="经典行楷简" w:cs="Times New Roman"/>
          <w:b/>
          <w:color w:val="2E75B6" w:themeColor="accent1" w:themeShade="BF"/>
          <w:kern w:val="36"/>
          <w:sz w:val="96"/>
          <w:szCs w:val="96"/>
          <w:u w:val="none" w:color="BB120F"/>
          <w:lang w:val="en-US" w:eastAsia="zh-CN"/>
        </w:rPr>
        <w:t>会员企业风采</w:t>
      </w:r>
    </w:p>
    <w:p w14:paraId="46470635">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方正楷体_GBK" w:cs="Times New Roman"/>
          <w:b w:val="0"/>
          <w:bCs/>
          <w:kern w:val="0"/>
          <w:sz w:val="32"/>
          <w:szCs w:val="32"/>
          <w:lang w:val="en-US" w:eastAsia="zh-CN" w:bidi="ar-SA"/>
        </w:rPr>
      </w:pPr>
      <w:r>
        <w:rPr>
          <w:rFonts w:hint="eastAsia" w:ascii="Times New Roman" w:hAnsi="Times New Roman" w:eastAsia="华文新魏" w:cs="Times New Roman"/>
          <w:b/>
          <w:bCs w:val="0"/>
          <w:color w:val="FF0000"/>
          <w:spacing w:val="-45"/>
          <w:kern w:val="36"/>
          <w:sz w:val="44"/>
          <w:szCs w:val="44"/>
          <w:lang w:val="en-US" w:eastAsia="zh-CN" w:bidi="ar-SA"/>
        </w:rPr>
        <w:t>绣娘丝绸荣获中国地理标志认证</w:t>
      </w:r>
    </w:p>
    <w:p w14:paraId="5B318FE9">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方正仿宋_GBK"/>
          <w:b w:val="0"/>
          <w:bCs w:val="0"/>
          <w:sz w:val="30"/>
          <w:szCs w:val="30"/>
          <w:lang w:val="en-US" w:eastAsia="zh-CN"/>
        </w:rPr>
      </w:pPr>
      <w:r>
        <w:rPr>
          <w:rFonts w:hint="eastAsia" w:ascii="Times New Roman" w:hAnsi="Times New Roman" w:eastAsia="方正仿宋_GBK" w:cs="方正仿宋_GBK"/>
          <w:b w:val="0"/>
          <w:bCs w:val="0"/>
          <w:sz w:val="30"/>
          <w:szCs w:val="30"/>
          <w:lang w:val="en-US" w:eastAsia="zh-CN"/>
        </w:rPr>
        <w:t>近日，我会副会长单位——苏州绣娘丝绸有限公司正式获得国家知识产权局批准的中华人民共和国地理标志“苏州绸缎”专属标志。这一殊荣的获得，标志着绣娘丝绸在产品质量、历史文化底蕴以及地域特色属性方面得到了国家级权威认可，也为“丝绸之府”苏州再添一张含金量十足的文化金名片。</w:t>
      </w:r>
    </w:p>
    <w:p w14:paraId="26660E0F">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方正仿宋_GBK"/>
          <w:b w:val="0"/>
          <w:bCs w:val="0"/>
          <w:sz w:val="30"/>
          <w:szCs w:val="30"/>
          <w:lang w:val="en-US" w:eastAsia="zh-CN"/>
        </w:rPr>
      </w:pPr>
      <w:r>
        <w:rPr>
          <w:rFonts w:hint="eastAsia" w:ascii="Times New Roman" w:hAnsi="Times New Roman" w:eastAsia="方正仿宋_GBK" w:cs="方正仿宋_GBK"/>
          <w:b w:val="0"/>
          <w:bCs w:val="0"/>
          <w:sz w:val="30"/>
          <w:szCs w:val="30"/>
          <w:lang w:val="en-US" w:eastAsia="zh-CN"/>
        </w:rPr>
        <w:t>作为根植于苏州的丝绸品牌，绣娘丝绸在非遗传承人戚秋兰女士与徐挺先生的带领下，已经发展成为中国丝绸行业的领军品牌，连续参加四届世博会、G20峰会、APEC、法国卢浮宫、中国国际时装周等世界舞台。其产品多次作为国礼亮相国际重要场合，并成为展现东方美学的重要载体。</w:t>
      </w:r>
    </w:p>
    <w:p w14:paraId="71A5C678">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692" w:firstLineChars="13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（来源</w:t>
      </w:r>
      <w:r>
        <w:rPr>
          <w:rFonts w:hint="eastAsia" w:ascii="Times New Roman" w:hAnsi="Times New Roman" w:eastAsia="方正楷体_GBK" w:cs="方正楷体_GBK"/>
          <w:b/>
          <w:bCs/>
          <w:color w:val="FF0000"/>
          <w:spacing w:val="0"/>
          <w:kern w:val="2"/>
          <w:sz w:val="30"/>
          <w:szCs w:val="30"/>
          <w:lang w:val="en-US" w:eastAsia="zh-CN" w:bidi="ar-SA"/>
        </w:rPr>
        <w:t>：绣娘丝绸微信公众号）</w:t>
      </w:r>
    </w:p>
    <w:p w14:paraId="7A04F62A">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692" w:firstLineChars="13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p w14:paraId="40E84379">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692" w:firstLineChars="13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p w14:paraId="06DF6FCE">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692" w:firstLineChars="13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p w14:paraId="07C41D6F">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692" w:firstLineChars="13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p w14:paraId="48BECCE6">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692" w:firstLineChars="13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p w14:paraId="0B7BFB50">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692" w:firstLineChars="13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p w14:paraId="7AD49DE1">
      <w:pPr>
        <w:keepNext w:val="0"/>
        <w:keepLines w:val="0"/>
        <w:pageBreakBefore w:val="0"/>
        <w:widowControl/>
        <w:kinsoku/>
        <w:wordWrap/>
        <w:overflowPunct/>
        <w:topLinePunct w:val="0"/>
        <w:autoSpaceDE/>
        <w:autoSpaceDN/>
        <w:bidi w:val="0"/>
        <w:adjustRightInd/>
        <w:snapToGrid/>
        <w:spacing w:line="440" w:lineRule="exact"/>
        <w:jc w:val="both"/>
        <w:textAlignment w:val="auto"/>
        <w:outlineLvl w:val="9"/>
        <w:rPr>
          <w:rFonts w:hint="eastAsia" w:ascii="Times New Roman" w:hAnsi="Times New Roman" w:eastAsia="方正楷体_GBK" w:cs="Times New Roman"/>
          <w:b w:val="0"/>
          <w:bCs/>
          <w:kern w:val="0"/>
          <w:sz w:val="32"/>
          <w:szCs w:val="32"/>
          <w:lang w:val="en-US" w:eastAsia="zh-CN" w:bidi="ar-SA"/>
        </w:rPr>
      </w:pPr>
    </w:p>
    <w:p w14:paraId="62B1C0F3">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方正楷体_GBK" w:cs="Times New Roman"/>
          <w:b w:val="0"/>
          <w:bCs/>
          <w:kern w:val="0"/>
          <w:sz w:val="32"/>
          <w:szCs w:val="32"/>
          <w:lang w:val="en-US" w:eastAsia="zh-CN" w:bidi="ar-SA"/>
        </w:rPr>
      </w:pPr>
      <w:bookmarkStart w:id="1" w:name="_GoBack"/>
      <w:bookmarkEnd w:id="1"/>
      <w:r>
        <w:rPr>
          <w:rFonts w:hint="eastAsia" w:ascii="Times New Roman" w:hAnsi="Times New Roman" w:eastAsia="华文新魏" w:cs="Times New Roman"/>
          <w:b/>
          <w:bCs w:val="0"/>
          <w:color w:val="FF0000"/>
          <w:spacing w:val="-45"/>
          <w:kern w:val="36"/>
          <w:sz w:val="44"/>
          <w:szCs w:val="44"/>
          <w:lang w:val="en-US" w:eastAsia="zh-CN" w:bidi="ar-SA"/>
        </w:rPr>
        <w:t>乐美包装斩获三项殊荣</w:t>
      </w:r>
    </w:p>
    <w:p w14:paraId="6A4FF753">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方正仿宋_GBK"/>
          <w:b w:val="0"/>
          <w:bCs w:val="0"/>
          <w:sz w:val="30"/>
          <w:szCs w:val="30"/>
          <w:lang w:val="en-US" w:eastAsia="zh-CN"/>
        </w:rPr>
      </w:pPr>
      <w:r>
        <w:rPr>
          <w:rFonts w:hint="eastAsia" w:ascii="Times New Roman" w:hAnsi="Times New Roman" w:eastAsia="方正仿宋_GBK" w:cs="方正仿宋_GBK"/>
          <w:b w:val="0"/>
          <w:bCs w:val="0"/>
          <w:sz w:val="30"/>
          <w:szCs w:val="30"/>
          <w:lang w:val="en-US" w:eastAsia="zh-CN"/>
        </w:rPr>
        <w:t>我会副会长单位——乐美包装（昆山）有限公司凭借卓越的产值贡献和行业领先地位，2025年斩获工业产出突出贡献企业、工业投资突出贡献企业、进出口突出贡献企业三项殊荣。</w:t>
      </w:r>
    </w:p>
    <w:p w14:paraId="77A7C2A3">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方正仿宋_GBK"/>
          <w:b w:val="0"/>
          <w:bCs w:val="0"/>
          <w:sz w:val="30"/>
          <w:szCs w:val="30"/>
          <w:lang w:val="en-US" w:eastAsia="zh-CN"/>
        </w:rPr>
      </w:pPr>
      <w:r>
        <w:rPr>
          <w:rFonts w:hint="eastAsia" w:ascii="Times New Roman" w:hAnsi="Times New Roman" w:eastAsia="方正仿宋_GBK" w:cs="方正仿宋_GBK"/>
          <w:b w:val="0"/>
          <w:bCs w:val="0"/>
          <w:sz w:val="30"/>
          <w:szCs w:val="30"/>
          <w:lang w:val="en-US" w:eastAsia="zh-CN"/>
        </w:rPr>
        <w:t>乐美包装是一家全球无菌包装公司，成立于2007年，在中国和印度尼西亚设有生产基地，客户遍布80多个国家。公司与食品和饮料品牌紧密合作，提供安全可靠的包装，同时提供支持产品开发和市场增长的服务。可持续性是公司的核心关注点，这体现在乐美包装使用负责任采购的材料，并持续投资于循环和低影响的解决方案。</w:t>
      </w:r>
    </w:p>
    <w:p w14:paraId="147344B8">
      <w:pPr>
        <w:keepNext w:val="0"/>
        <w:keepLines w:val="0"/>
        <w:pageBreakBefore w:val="0"/>
        <w:widowControl/>
        <w:kinsoku/>
        <w:wordWrap/>
        <w:overflowPunct/>
        <w:topLinePunct w:val="0"/>
        <w:autoSpaceDE/>
        <w:autoSpaceDN/>
        <w:bidi w:val="0"/>
        <w:adjustRightInd/>
        <w:snapToGrid/>
        <w:spacing w:line="440" w:lineRule="exact"/>
        <w:ind w:firstLine="3976" w:firstLineChars="1400"/>
        <w:jc w:val="both"/>
        <w:textAlignment w:val="auto"/>
        <w:outlineLvl w:val="9"/>
        <w:rPr>
          <w:rFonts w:hint="eastAsia" w:ascii="Times New Roman" w:hAnsi="Times New Roman" w:eastAsia="方正楷体_GBK" w:cs="方正楷体_GBK"/>
          <w:b/>
          <w:bCs/>
          <w:color w:val="FF0000"/>
          <w:spacing w:val="0"/>
          <w:kern w:val="2"/>
          <w:sz w:val="30"/>
          <w:szCs w:val="30"/>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（来源</w:t>
      </w:r>
      <w:r>
        <w:rPr>
          <w:rFonts w:hint="eastAsia" w:ascii="Times New Roman" w:hAnsi="Times New Roman" w:eastAsia="方正楷体_GBK" w:cs="方正楷体_GBK"/>
          <w:b/>
          <w:bCs/>
          <w:color w:val="FF0000"/>
          <w:spacing w:val="0"/>
          <w:kern w:val="2"/>
          <w:sz w:val="30"/>
          <w:szCs w:val="30"/>
          <w:lang w:val="en-US" w:eastAsia="zh-CN" w:bidi="ar-SA"/>
        </w:rPr>
        <w:t>：乐美包装微信公众号）</w:t>
      </w:r>
    </w:p>
    <w:p w14:paraId="7C280384">
      <w:pPr>
        <w:keepNext w:val="0"/>
        <w:keepLines w:val="0"/>
        <w:pageBreakBefore w:val="0"/>
        <w:widowControl/>
        <w:kinsoku/>
        <w:wordWrap/>
        <w:overflowPunct/>
        <w:topLinePunct w:val="0"/>
        <w:autoSpaceDE/>
        <w:autoSpaceDN/>
        <w:bidi w:val="0"/>
        <w:adjustRightInd/>
        <w:snapToGrid/>
        <w:spacing w:line="440" w:lineRule="exact"/>
        <w:ind w:firstLine="3976" w:firstLineChars="1400"/>
        <w:jc w:val="both"/>
        <w:textAlignment w:val="auto"/>
        <w:outlineLvl w:val="9"/>
        <w:rPr>
          <w:rFonts w:hint="eastAsia" w:ascii="Times New Roman" w:hAnsi="Times New Roman" w:eastAsia="方正楷体_GBK" w:cs="方正楷体_GBK"/>
          <w:b/>
          <w:bCs/>
          <w:color w:val="FF0000"/>
          <w:spacing w:val="0"/>
          <w:kern w:val="2"/>
          <w:sz w:val="30"/>
          <w:szCs w:val="30"/>
          <w:lang w:val="en-US" w:eastAsia="zh-CN" w:bidi="ar-SA"/>
        </w:rPr>
      </w:pPr>
    </w:p>
    <w:p w14:paraId="04A8FD65">
      <w:pPr>
        <w:keepNext w:val="0"/>
        <w:keepLines w:val="0"/>
        <w:pageBreakBefore w:val="0"/>
        <w:widowControl/>
        <w:kinsoku/>
        <w:wordWrap/>
        <w:overflowPunct/>
        <w:topLinePunct w:val="0"/>
        <w:autoSpaceDE/>
        <w:autoSpaceDN/>
        <w:bidi w:val="0"/>
        <w:adjustRightInd/>
        <w:snapToGrid/>
        <w:spacing w:line="440" w:lineRule="exact"/>
        <w:ind w:firstLine="3976" w:firstLineChars="1400"/>
        <w:jc w:val="both"/>
        <w:textAlignment w:val="auto"/>
        <w:outlineLvl w:val="9"/>
        <w:rPr>
          <w:rFonts w:hint="eastAsia" w:ascii="Times New Roman" w:hAnsi="Times New Roman" w:eastAsia="方正楷体_GBK" w:cs="方正楷体_GBK"/>
          <w:b/>
          <w:bCs/>
          <w:color w:val="FF0000"/>
          <w:spacing w:val="0"/>
          <w:kern w:val="2"/>
          <w:sz w:val="30"/>
          <w:szCs w:val="30"/>
          <w:lang w:val="en-US" w:eastAsia="zh-CN" w:bidi="ar-SA"/>
        </w:rPr>
      </w:pPr>
    </w:p>
    <w:p w14:paraId="70DC7789">
      <w:pPr>
        <w:keepNext w:val="0"/>
        <w:keepLines w:val="0"/>
        <w:pageBreakBefore w:val="0"/>
        <w:widowControl/>
        <w:kinsoku/>
        <w:wordWrap/>
        <w:overflowPunct/>
        <w:topLinePunct w:val="0"/>
        <w:autoSpaceDE/>
        <w:autoSpaceDN/>
        <w:bidi w:val="0"/>
        <w:adjustRightInd/>
        <w:snapToGrid/>
        <w:spacing w:line="440" w:lineRule="exact"/>
        <w:ind w:firstLine="3976" w:firstLineChars="1400"/>
        <w:jc w:val="both"/>
        <w:textAlignment w:val="auto"/>
        <w:outlineLvl w:val="9"/>
        <w:rPr>
          <w:rFonts w:hint="eastAsia" w:ascii="Times New Roman" w:hAnsi="Times New Roman" w:eastAsia="方正楷体_GBK" w:cs="方正楷体_GBK"/>
          <w:b/>
          <w:bCs/>
          <w:color w:val="FF0000"/>
          <w:spacing w:val="0"/>
          <w:kern w:val="2"/>
          <w:sz w:val="30"/>
          <w:szCs w:val="30"/>
          <w:lang w:val="en-US" w:eastAsia="zh-CN" w:bidi="ar-SA"/>
        </w:rPr>
      </w:pPr>
    </w:p>
    <w:p w14:paraId="474BEB5A">
      <w:pPr>
        <w:keepNext w:val="0"/>
        <w:keepLines w:val="0"/>
        <w:pageBreakBefore w:val="0"/>
        <w:widowControl/>
        <w:kinsoku/>
        <w:wordWrap/>
        <w:overflowPunct/>
        <w:topLinePunct w:val="0"/>
        <w:autoSpaceDE/>
        <w:autoSpaceDN/>
        <w:bidi w:val="0"/>
        <w:adjustRightInd/>
        <w:snapToGrid/>
        <w:spacing w:line="440" w:lineRule="exact"/>
        <w:ind w:firstLine="3976" w:firstLineChars="1400"/>
        <w:jc w:val="both"/>
        <w:textAlignment w:val="auto"/>
        <w:outlineLvl w:val="9"/>
        <w:rPr>
          <w:rFonts w:hint="eastAsia" w:ascii="Times New Roman" w:hAnsi="Times New Roman" w:eastAsia="方正楷体_GBK" w:cs="方正楷体_GBK"/>
          <w:b/>
          <w:bCs/>
          <w:color w:val="FF0000"/>
          <w:spacing w:val="0"/>
          <w:kern w:val="2"/>
          <w:sz w:val="30"/>
          <w:szCs w:val="30"/>
          <w:lang w:val="en-US" w:eastAsia="zh-CN" w:bidi="ar-SA"/>
        </w:rPr>
      </w:pPr>
    </w:p>
    <w:p w14:paraId="1B4ADA2E">
      <w:pPr>
        <w:keepNext w:val="0"/>
        <w:keepLines w:val="0"/>
        <w:pageBreakBefore w:val="0"/>
        <w:widowControl/>
        <w:kinsoku/>
        <w:wordWrap/>
        <w:overflowPunct/>
        <w:topLinePunct w:val="0"/>
        <w:autoSpaceDE/>
        <w:autoSpaceDN/>
        <w:bidi w:val="0"/>
        <w:adjustRightInd/>
        <w:snapToGrid/>
        <w:spacing w:line="440" w:lineRule="exact"/>
        <w:ind w:firstLine="3976" w:firstLineChars="1400"/>
        <w:jc w:val="both"/>
        <w:textAlignment w:val="auto"/>
        <w:outlineLvl w:val="9"/>
        <w:rPr>
          <w:rFonts w:hint="eastAsia" w:ascii="Times New Roman" w:hAnsi="Times New Roman" w:eastAsia="方正楷体_GBK" w:cs="方正楷体_GBK"/>
          <w:b/>
          <w:bCs/>
          <w:color w:val="FF0000"/>
          <w:spacing w:val="0"/>
          <w:kern w:val="2"/>
          <w:sz w:val="30"/>
          <w:szCs w:val="30"/>
          <w:lang w:val="en-US" w:eastAsia="zh-CN" w:bidi="ar-SA"/>
        </w:rPr>
      </w:pPr>
    </w:p>
    <w:p w14:paraId="5464EBF5">
      <w:pPr>
        <w:keepNext w:val="0"/>
        <w:keepLines w:val="0"/>
        <w:pageBreakBefore w:val="0"/>
        <w:widowControl/>
        <w:kinsoku/>
        <w:wordWrap/>
        <w:overflowPunct/>
        <w:topLinePunct w:val="0"/>
        <w:autoSpaceDE/>
        <w:autoSpaceDN/>
        <w:bidi w:val="0"/>
        <w:adjustRightInd/>
        <w:snapToGrid/>
        <w:spacing w:line="440" w:lineRule="exact"/>
        <w:ind w:firstLine="3976" w:firstLineChars="1400"/>
        <w:jc w:val="both"/>
        <w:textAlignment w:val="auto"/>
        <w:outlineLvl w:val="9"/>
        <w:rPr>
          <w:rFonts w:hint="eastAsia" w:ascii="Times New Roman" w:hAnsi="Times New Roman" w:eastAsia="方正楷体_GBK" w:cs="方正楷体_GBK"/>
          <w:b/>
          <w:bCs/>
          <w:color w:val="FF0000"/>
          <w:spacing w:val="0"/>
          <w:kern w:val="2"/>
          <w:sz w:val="30"/>
          <w:szCs w:val="30"/>
          <w:lang w:val="en-US" w:eastAsia="zh-CN" w:bidi="ar-SA"/>
        </w:rPr>
      </w:pPr>
    </w:p>
    <w:p w14:paraId="6F4E83EA">
      <w:pPr>
        <w:keepNext w:val="0"/>
        <w:keepLines w:val="0"/>
        <w:pageBreakBefore w:val="0"/>
        <w:widowControl/>
        <w:kinsoku/>
        <w:wordWrap/>
        <w:overflowPunct/>
        <w:topLinePunct w:val="0"/>
        <w:autoSpaceDE/>
        <w:autoSpaceDN/>
        <w:bidi w:val="0"/>
        <w:adjustRightInd/>
        <w:snapToGrid/>
        <w:spacing w:line="440" w:lineRule="exact"/>
        <w:ind w:firstLine="3976" w:firstLineChars="1400"/>
        <w:jc w:val="both"/>
        <w:textAlignment w:val="auto"/>
        <w:outlineLvl w:val="9"/>
        <w:rPr>
          <w:rFonts w:hint="eastAsia" w:ascii="Times New Roman" w:hAnsi="Times New Roman" w:eastAsia="方正楷体_GBK" w:cs="方正楷体_GBK"/>
          <w:b/>
          <w:bCs/>
          <w:color w:val="FF0000"/>
          <w:spacing w:val="0"/>
          <w:kern w:val="2"/>
          <w:sz w:val="30"/>
          <w:szCs w:val="30"/>
          <w:lang w:val="en-US" w:eastAsia="zh-CN" w:bidi="ar-SA"/>
        </w:rPr>
      </w:pPr>
    </w:p>
    <w:p w14:paraId="4EBEC3FE">
      <w:pPr>
        <w:keepNext w:val="0"/>
        <w:keepLines w:val="0"/>
        <w:pageBreakBefore w:val="0"/>
        <w:widowControl/>
        <w:kinsoku/>
        <w:wordWrap/>
        <w:overflowPunct/>
        <w:topLinePunct w:val="0"/>
        <w:autoSpaceDE/>
        <w:autoSpaceDN/>
        <w:bidi w:val="0"/>
        <w:adjustRightInd/>
        <w:snapToGrid/>
        <w:spacing w:line="440" w:lineRule="exact"/>
        <w:ind w:firstLine="3976" w:firstLineChars="1400"/>
        <w:jc w:val="both"/>
        <w:textAlignment w:val="auto"/>
        <w:outlineLvl w:val="9"/>
        <w:rPr>
          <w:rFonts w:hint="eastAsia" w:ascii="Times New Roman" w:hAnsi="Times New Roman" w:eastAsia="方正楷体_GBK" w:cs="方正楷体_GBK"/>
          <w:b/>
          <w:bCs/>
          <w:color w:val="FF0000"/>
          <w:spacing w:val="0"/>
          <w:kern w:val="2"/>
          <w:sz w:val="30"/>
          <w:szCs w:val="30"/>
          <w:lang w:val="en-US" w:eastAsia="zh-CN" w:bidi="ar-SA"/>
        </w:rPr>
      </w:pPr>
    </w:p>
    <w:p w14:paraId="780EB0A8">
      <w:pPr>
        <w:keepNext w:val="0"/>
        <w:keepLines w:val="0"/>
        <w:pageBreakBefore w:val="0"/>
        <w:widowControl/>
        <w:kinsoku/>
        <w:wordWrap/>
        <w:overflowPunct/>
        <w:topLinePunct w:val="0"/>
        <w:autoSpaceDE/>
        <w:autoSpaceDN/>
        <w:bidi w:val="0"/>
        <w:adjustRightInd/>
        <w:snapToGrid/>
        <w:spacing w:line="440" w:lineRule="exact"/>
        <w:ind w:firstLine="3976" w:firstLineChars="1400"/>
        <w:jc w:val="both"/>
        <w:textAlignment w:val="auto"/>
        <w:outlineLvl w:val="9"/>
        <w:rPr>
          <w:rFonts w:hint="eastAsia" w:ascii="Times New Roman" w:hAnsi="Times New Roman" w:eastAsia="方正楷体_GBK" w:cs="方正楷体_GBK"/>
          <w:b/>
          <w:bCs/>
          <w:color w:val="FF0000"/>
          <w:spacing w:val="0"/>
          <w:kern w:val="2"/>
          <w:sz w:val="30"/>
          <w:szCs w:val="30"/>
          <w:lang w:val="en-US" w:eastAsia="zh-CN" w:bidi="ar-SA"/>
        </w:rPr>
      </w:pPr>
    </w:p>
    <w:p w14:paraId="4415528B">
      <w:pPr>
        <w:keepNext w:val="0"/>
        <w:keepLines w:val="0"/>
        <w:pageBreakBefore w:val="0"/>
        <w:widowControl/>
        <w:kinsoku/>
        <w:wordWrap/>
        <w:overflowPunct/>
        <w:topLinePunct w:val="0"/>
        <w:autoSpaceDE/>
        <w:autoSpaceDN/>
        <w:bidi w:val="0"/>
        <w:adjustRightInd/>
        <w:snapToGrid/>
        <w:spacing w:line="440" w:lineRule="exact"/>
        <w:ind w:firstLine="3976" w:firstLineChars="1400"/>
        <w:jc w:val="both"/>
        <w:textAlignment w:val="auto"/>
        <w:outlineLvl w:val="9"/>
        <w:rPr>
          <w:rFonts w:hint="eastAsia" w:ascii="Times New Roman" w:hAnsi="Times New Roman" w:eastAsia="方正楷体_GBK" w:cs="方正楷体_GBK"/>
          <w:b/>
          <w:bCs/>
          <w:color w:val="FF0000"/>
          <w:spacing w:val="0"/>
          <w:kern w:val="2"/>
          <w:sz w:val="30"/>
          <w:szCs w:val="30"/>
          <w:lang w:val="en-US" w:eastAsia="zh-CN" w:bidi="ar-SA"/>
        </w:rPr>
      </w:pPr>
    </w:p>
    <w:p w14:paraId="466AFCD3">
      <w:pPr>
        <w:keepNext w:val="0"/>
        <w:keepLines w:val="0"/>
        <w:pageBreakBefore w:val="0"/>
        <w:widowControl/>
        <w:kinsoku/>
        <w:wordWrap/>
        <w:overflowPunct/>
        <w:topLinePunct w:val="0"/>
        <w:autoSpaceDE/>
        <w:autoSpaceDN/>
        <w:bidi w:val="0"/>
        <w:adjustRightInd/>
        <w:snapToGrid/>
        <w:spacing w:line="440" w:lineRule="exact"/>
        <w:ind w:firstLine="3976" w:firstLineChars="1400"/>
        <w:jc w:val="both"/>
        <w:textAlignment w:val="auto"/>
        <w:outlineLvl w:val="9"/>
        <w:rPr>
          <w:rFonts w:hint="eastAsia" w:ascii="Times New Roman" w:hAnsi="Times New Roman" w:eastAsia="方正楷体_GBK" w:cs="方正楷体_GBK"/>
          <w:b/>
          <w:bCs/>
          <w:color w:val="FF0000"/>
          <w:spacing w:val="0"/>
          <w:kern w:val="2"/>
          <w:sz w:val="30"/>
          <w:szCs w:val="30"/>
          <w:lang w:val="en-US" w:eastAsia="zh-CN" w:bidi="ar-SA"/>
        </w:rPr>
      </w:pPr>
    </w:p>
    <w:p w14:paraId="12551E08">
      <w:pPr>
        <w:keepNext w:val="0"/>
        <w:keepLines w:val="0"/>
        <w:pageBreakBefore w:val="0"/>
        <w:widowControl/>
        <w:kinsoku/>
        <w:wordWrap/>
        <w:overflowPunct/>
        <w:topLinePunct w:val="0"/>
        <w:autoSpaceDE/>
        <w:autoSpaceDN/>
        <w:bidi w:val="0"/>
        <w:adjustRightInd/>
        <w:snapToGrid/>
        <w:spacing w:line="440" w:lineRule="exact"/>
        <w:ind w:firstLine="3976" w:firstLineChars="1400"/>
        <w:jc w:val="both"/>
        <w:textAlignment w:val="auto"/>
        <w:outlineLvl w:val="9"/>
        <w:rPr>
          <w:rFonts w:hint="eastAsia" w:ascii="Times New Roman" w:hAnsi="Times New Roman" w:eastAsia="方正楷体_GBK" w:cs="方正楷体_GBK"/>
          <w:b/>
          <w:bCs/>
          <w:color w:val="FF0000"/>
          <w:spacing w:val="0"/>
          <w:kern w:val="2"/>
          <w:sz w:val="30"/>
          <w:szCs w:val="30"/>
          <w:lang w:val="en-US" w:eastAsia="zh-CN" w:bidi="ar-SA"/>
        </w:rPr>
      </w:pPr>
    </w:p>
    <w:p w14:paraId="29812812">
      <w:pPr>
        <w:keepNext w:val="0"/>
        <w:keepLines w:val="0"/>
        <w:pageBreakBefore w:val="0"/>
        <w:widowControl/>
        <w:kinsoku/>
        <w:wordWrap/>
        <w:overflowPunct/>
        <w:topLinePunct w:val="0"/>
        <w:autoSpaceDE/>
        <w:autoSpaceDN/>
        <w:bidi w:val="0"/>
        <w:adjustRightInd/>
        <w:snapToGrid/>
        <w:spacing w:line="440" w:lineRule="exact"/>
        <w:ind w:firstLine="3976" w:firstLineChars="1400"/>
        <w:jc w:val="both"/>
        <w:textAlignment w:val="auto"/>
        <w:outlineLvl w:val="9"/>
        <w:rPr>
          <w:rFonts w:hint="eastAsia" w:ascii="Times New Roman" w:hAnsi="Times New Roman" w:eastAsia="方正楷体_GBK" w:cs="方正楷体_GBK"/>
          <w:b/>
          <w:bCs/>
          <w:color w:val="FF0000"/>
          <w:spacing w:val="0"/>
          <w:kern w:val="2"/>
          <w:sz w:val="30"/>
          <w:szCs w:val="30"/>
          <w:lang w:val="en-US" w:eastAsia="zh-CN" w:bidi="ar-SA"/>
        </w:rPr>
      </w:pPr>
    </w:p>
    <w:p w14:paraId="4933BD4B">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332F2306">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方正楷体_GBK" w:cs="Times New Roman"/>
          <w:b w:val="0"/>
          <w:bCs/>
          <w:kern w:val="0"/>
          <w:sz w:val="32"/>
          <w:szCs w:val="32"/>
          <w:lang w:val="en-US" w:eastAsia="zh-CN" w:bidi="ar-SA"/>
        </w:rPr>
      </w:pPr>
      <w:r>
        <w:rPr>
          <w:rFonts w:hint="eastAsia" w:ascii="Times New Roman" w:hAnsi="Times New Roman" w:eastAsia="华文新魏" w:cs="Times New Roman"/>
          <w:b/>
          <w:bCs w:val="0"/>
          <w:color w:val="FF0000"/>
          <w:spacing w:val="-45"/>
          <w:kern w:val="36"/>
          <w:sz w:val="44"/>
          <w:szCs w:val="44"/>
          <w:lang w:val="en-US" w:eastAsia="zh-CN" w:bidi="ar-SA"/>
        </w:rPr>
        <w:t>西派集团荣膺“国家级绿色工厂”</w:t>
      </w:r>
    </w:p>
    <w:p w14:paraId="1C571A0C">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方正仿宋_GBK"/>
          <w:b w:val="0"/>
          <w:bCs w:val="0"/>
          <w:sz w:val="30"/>
          <w:szCs w:val="30"/>
          <w:lang w:val="en-US" w:eastAsia="zh-CN"/>
        </w:rPr>
      </w:pPr>
      <w:r>
        <w:rPr>
          <w:rFonts w:hint="eastAsia" w:ascii="Times New Roman" w:hAnsi="Times New Roman" w:eastAsia="方正仿宋_GBK" w:cs="方正仿宋_GBK"/>
          <w:b w:val="0"/>
          <w:bCs w:val="0"/>
          <w:sz w:val="30"/>
          <w:szCs w:val="30"/>
          <w:lang w:val="en-US" w:eastAsia="zh-CN"/>
        </w:rPr>
        <w:t>近日，工业和信息化部公布2025 年度国家级绿色工厂名单，我会理事单位——西派集团有限公司凭借在绿色制造、低碳发展等方面的突出成效成功入选，标志着西派集团在绿色发展与可持续发展道路上迈出了坚实一步。</w:t>
      </w:r>
    </w:p>
    <w:p w14:paraId="7854F536">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方正仿宋_GBK"/>
          <w:b w:val="0"/>
          <w:bCs w:val="0"/>
          <w:sz w:val="30"/>
          <w:szCs w:val="30"/>
          <w:lang w:val="en-US" w:eastAsia="zh-CN"/>
        </w:rPr>
      </w:pPr>
      <w:r>
        <w:rPr>
          <w:rFonts w:hint="eastAsia" w:ascii="Times New Roman" w:hAnsi="Times New Roman" w:eastAsia="方正仿宋_GBK" w:cs="方正仿宋_GBK"/>
          <w:b w:val="0"/>
          <w:bCs w:val="0"/>
          <w:sz w:val="30"/>
          <w:szCs w:val="30"/>
          <w:lang w:val="en-US" w:eastAsia="zh-CN"/>
        </w:rPr>
        <w:t>西派集团始终坚守绿色发展理念，严格对标绿色工厂建设标准，以智能化产线升级、能源精细化管控、生产全流程实时监测为抓手，持续降低生产能耗与污染物排放，在阀门制造领域，走出了一条绿色化与智能化深度融合、独具特色的高质量发展之路。</w:t>
      </w:r>
    </w:p>
    <w:p w14:paraId="64D4F69D">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（来源</w:t>
      </w:r>
      <w:r>
        <w:rPr>
          <w:rFonts w:hint="eastAsia" w:ascii="Times New Roman" w:hAnsi="Times New Roman" w:eastAsia="方正楷体_GBK" w:cs="方正楷体_GBK"/>
          <w:b/>
          <w:bCs/>
          <w:color w:val="FF0000"/>
          <w:spacing w:val="0"/>
          <w:kern w:val="2"/>
          <w:sz w:val="30"/>
          <w:szCs w:val="30"/>
          <w:lang w:val="en-US" w:eastAsia="zh-CN" w:bidi="ar-SA"/>
        </w:rPr>
        <w:t>：西派集团微信公众号）</w:t>
      </w:r>
    </w:p>
    <w:sectPr>
      <w:footerReference r:id="rId3"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777F477-B62C-4BB5-9167-F8048CC1AF0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F28091AC-E4EE-4370-9FA2-B1B1C89A426F}"/>
  </w:font>
  <w:font w:name="Consolas">
    <w:panose1 w:val="020B0609020204030204"/>
    <w:charset w:val="00"/>
    <w:family w:val="auto"/>
    <w:pitch w:val="default"/>
    <w:sig w:usb0="E00006FF" w:usb1="0000FCFF" w:usb2="00000001" w:usb3="00000000" w:csb0="6000019F" w:csb1="DFD70000"/>
  </w:font>
  <w:font w:name="经典行楷简">
    <w:panose1 w:val="02010609000101010101"/>
    <w:charset w:val="86"/>
    <w:family w:val="auto"/>
    <w:pitch w:val="default"/>
    <w:sig w:usb0="A1007AEF" w:usb1="F9DF7CFB" w:usb2="0000001E" w:usb3="00000000" w:csb0="20040000" w:csb1="00000000"/>
    <w:embedRegular r:id="rId3" w:fontKey="{CB43D7F5-31F8-4C92-AAC8-4A764F687473}"/>
  </w:font>
  <w:font w:name="方正楷体_GBK">
    <w:panose1 w:val="02000000000000000000"/>
    <w:charset w:val="86"/>
    <w:family w:val="auto"/>
    <w:pitch w:val="default"/>
    <w:sig w:usb0="800002BF" w:usb1="38CF7CFA" w:usb2="00000016" w:usb3="00000000" w:csb0="00040000" w:csb1="00000000"/>
    <w:embedRegular r:id="rId4" w:fontKey="{EBB44140-4EAA-4E8A-AEF4-A2AAD92CBF29}"/>
  </w:font>
  <w:font w:name="方正公文黑体">
    <w:panose1 w:val="02000500000000000000"/>
    <w:charset w:val="86"/>
    <w:family w:val="auto"/>
    <w:pitch w:val="default"/>
    <w:sig w:usb0="A00002BF" w:usb1="38CF7CFA" w:usb2="00000016" w:usb3="00000000" w:csb0="00040001" w:csb1="00000000"/>
    <w:embedRegular r:id="rId5" w:fontKey="{25AB59FB-50E1-4A20-9237-BE883B6BB3FB}"/>
  </w:font>
  <w:font w:name="方正黑体_GBK">
    <w:panose1 w:val="02010600010101010101"/>
    <w:charset w:val="86"/>
    <w:family w:val="auto"/>
    <w:pitch w:val="default"/>
    <w:sig w:usb0="00000001" w:usb1="080E0000" w:usb2="00000000" w:usb3="00000000" w:csb0="00040000" w:csb1="00000000"/>
    <w:embedRegular r:id="rId6" w:fontKey="{6636DCFA-89C8-4874-8787-EB711693EC2E}"/>
  </w:font>
  <w:font w:name="方正仿宋_GBK">
    <w:panose1 w:val="03000509000000000000"/>
    <w:charset w:val="86"/>
    <w:family w:val="script"/>
    <w:pitch w:val="default"/>
    <w:sig w:usb0="00000001" w:usb1="080E0000" w:usb2="00000000" w:usb3="00000000" w:csb0="00040000" w:csb1="00000000"/>
    <w:embedRegular r:id="rId7" w:fontKey="{85066378-FC87-4FCC-B005-BF9068C4D770}"/>
  </w:font>
  <w:font w:name="方正小标宋_GBK">
    <w:panose1 w:val="03000509000000000000"/>
    <w:charset w:val="86"/>
    <w:family w:val="auto"/>
    <w:pitch w:val="default"/>
    <w:sig w:usb0="00000001" w:usb1="080E0000" w:usb2="00000000" w:usb3="00000000" w:csb0="00040000" w:csb1="00000000"/>
    <w:embedRegular r:id="rId8" w:fontKey="{E9FE67E8-B2FD-444B-B604-0C49E0EB4B8F}"/>
  </w:font>
  <w:font w:name="华文新魏">
    <w:panose1 w:val="02010800040101010101"/>
    <w:charset w:val="86"/>
    <w:family w:val="auto"/>
    <w:pitch w:val="default"/>
    <w:sig w:usb0="00000001" w:usb1="080F0000" w:usb2="00000000" w:usb3="00000000" w:csb0="00040000" w:csb1="00000000"/>
    <w:embedRegular r:id="rId9" w:fontKey="{AE6DEAC9-A2BC-4654-A9AE-6E59852C7E21}"/>
  </w:font>
  <w:font w:name="方正楷体_GB2312">
    <w:panose1 w:val="02000000000000000000"/>
    <w:charset w:val="86"/>
    <w:family w:val="auto"/>
    <w:pitch w:val="default"/>
    <w:sig w:usb0="A00002BF" w:usb1="184F6CFA" w:usb2="00000012" w:usb3="00000000" w:csb0="00040001" w:csb1="00000000"/>
    <w:embedRegular r:id="rId10" w:fontKey="{295A6EB0-7636-4580-B920-87B274F387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1BD11">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-304800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740C4">
                          <w:pPr>
                            <w:widowControl w:val="0"/>
                            <w:tabs>
                              <w:tab w:val="center" w:pos="4153"/>
                              <w:tab w:val="right" w:pos="8306"/>
                            </w:tabs>
                            <w:snapToGrid w:val="0"/>
                            <w:jc w:val="center"/>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4pt;height:144pt;width:144pt;mso-position-horizontal:center;mso-position-horizontal-relative:margin;mso-wrap-style:none;z-index:251659264;mso-width-relative:page;mso-height-relative:page;" filled="f" stroked="f" coordsize="21600,21600" o:gfxdata="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gO9M9QAAAAIAQAADwAAAAAAAAABACAAAAAiAAAAZHJzL2Rvd25yZXYu&#10;eG1sUEsBAhQAFAAAAAgAh07iQLVZerI4AgAAbwQAAA4AAAAAAAAAAQAgAAAAIwEAAGRycy9lMm9E&#10;b2MueG1sUEsFBgAAAAAGAAYAWQEAAM0FAAAAAA==&#10;">
              <v:fill on="f" focussize="0,0"/>
              <v:stroke on="f" weight="0.5pt"/>
              <v:imagedata o:title=""/>
              <o:lock v:ext="edit" aspectratio="f"/>
              <v:textbox inset="0mm,0mm,0mm,0mm" style="mso-fit-shape-to-text:t;">
                <w:txbxContent>
                  <w:p w14:paraId="149740C4">
                    <w:pPr>
                      <w:widowControl w:val="0"/>
                      <w:tabs>
                        <w:tab w:val="center" w:pos="4153"/>
                        <w:tab w:val="right" w:pos="8306"/>
                      </w:tabs>
                      <w:snapToGrid w:val="0"/>
                      <w:jc w:val="center"/>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v:textbox>
            </v:shape>
          </w:pict>
        </mc:Fallback>
      </mc:AlternateContent>
    </w:r>
  </w:p>
  <w:p w14:paraId="4033DA90">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yY2JjZjUwZjliZTZiOTlhN2YyNWNiNDhlZDgzZjgifQ=="/>
  </w:docVars>
  <w:rsids>
    <w:rsidRoot w:val="09CD0E22"/>
    <w:rsid w:val="00030C0E"/>
    <w:rsid w:val="00043245"/>
    <w:rsid w:val="0007364F"/>
    <w:rsid w:val="000800B0"/>
    <w:rsid w:val="00093D01"/>
    <w:rsid w:val="00097083"/>
    <w:rsid w:val="000C6CC2"/>
    <w:rsid w:val="001156B9"/>
    <w:rsid w:val="00145330"/>
    <w:rsid w:val="00154806"/>
    <w:rsid w:val="001F2C95"/>
    <w:rsid w:val="00215B64"/>
    <w:rsid w:val="002840B7"/>
    <w:rsid w:val="003208B4"/>
    <w:rsid w:val="003671B0"/>
    <w:rsid w:val="003C691D"/>
    <w:rsid w:val="003F32D7"/>
    <w:rsid w:val="0042623F"/>
    <w:rsid w:val="0043286B"/>
    <w:rsid w:val="00467C46"/>
    <w:rsid w:val="005279A4"/>
    <w:rsid w:val="005A092B"/>
    <w:rsid w:val="006B63D3"/>
    <w:rsid w:val="006C0C2E"/>
    <w:rsid w:val="00723B7D"/>
    <w:rsid w:val="00742E2E"/>
    <w:rsid w:val="007C2A82"/>
    <w:rsid w:val="007E11E9"/>
    <w:rsid w:val="008B2F92"/>
    <w:rsid w:val="008E3499"/>
    <w:rsid w:val="008F79A9"/>
    <w:rsid w:val="00906A61"/>
    <w:rsid w:val="00962249"/>
    <w:rsid w:val="00984AC6"/>
    <w:rsid w:val="00A0554E"/>
    <w:rsid w:val="00A55B3B"/>
    <w:rsid w:val="00B1496F"/>
    <w:rsid w:val="00B35803"/>
    <w:rsid w:val="00B45E3E"/>
    <w:rsid w:val="00B528B9"/>
    <w:rsid w:val="00C16462"/>
    <w:rsid w:val="00C66488"/>
    <w:rsid w:val="00CA656E"/>
    <w:rsid w:val="00CE04E4"/>
    <w:rsid w:val="00D0085C"/>
    <w:rsid w:val="00D9651F"/>
    <w:rsid w:val="00DB54B3"/>
    <w:rsid w:val="00DF053C"/>
    <w:rsid w:val="00E278B0"/>
    <w:rsid w:val="00E76B4E"/>
    <w:rsid w:val="00EA6FD6"/>
    <w:rsid w:val="00FC3867"/>
    <w:rsid w:val="010007F1"/>
    <w:rsid w:val="010F41FD"/>
    <w:rsid w:val="01123C24"/>
    <w:rsid w:val="01281FA6"/>
    <w:rsid w:val="0129652A"/>
    <w:rsid w:val="012C4A94"/>
    <w:rsid w:val="0134238F"/>
    <w:rsid w:val="01434062"/>
    <w:rsid w:val="014F3F68"/>
    <w:rsid w:val="015A28DE"/>
    <w:rsid w:val="01603797"/>
    <w:rsid w:val="01607B5B"/>
    <w:rsid w:val="01614C4F"/>
    <w:rsid w:val="016607CF"/>
    <w:rsid w:val="01687C29"/>
    <w:rsid w:val="016C6133"/>
    <w:rsid w:val="016D0719"/>
    <w:rsid w:val="016E2905"/>
    <w:rsid w:val="01730647"/>
    <w:rsid w:val="01765242"/>
    <w:rsid w:val="017F7312"/>
    <w:rsid w:val="0183354F"/>
    <w:rsid w:val="018A4341"/>
    <w:rsid w:val="018D1ED5"/>
    <w:rsid w:val="018E0532"/>
    <w:rsid w:val="01944C0D"/>
    <w:rsid w:val="01947605"/>
    <w:rsid w:val="019652A2"/>
    <w:rsid w:val="019A0A9C"/>
    <w:rsid w:val="019E5AF8"/>
    <w:rsid w:val="01A05888"/>
    <w:rsid w:val="01A2463C"/>
    <w:rsid w:val="01A277CA"/>
    <w:rsid w:val="01A536F0"/>
    <w:rsid w:val="01AB72AD"/>
    <w:rsid w:val="01AD0FC0"/>
    <w:rsid w:val="01AF0E83"/>
    <w:rsid w:val="01B74B80"/>
    <w:rsid w:val="01B76B70"/>
    <w:rsid w:val="01BC47E4"/>
    <w:rsid w:val="01BD0D3F"/>
    <w:rsid w:val="01C17E07"/>
    <w:rsid w:val="01C277DB"/>
    <w:rsid w:val="01C5785D"/>
    <w:rsid w:val="01CB201F"/>
    <w:rsid w:val="01D01DDD"/>
    <w:rsid w:val="01D83F23"/>
    <w:rsid w:val="01DA121B"/>
    <w:rsid w:val="01E02E8A"/>
    <w:rsid w:val="01EB6FF4"/>
    <w:rsid w:val="01EC6C1A"/>
    <w:rsid w:val="01F43D5D"/>
    <w:rsid w:val="01F53962"/>
    <w:rsid w:val="01F739C6"/>
    <w:rsid w:val="01FE284A"/>
    <w:rsid w:val="0202118C"/>
    <w:rsid w:val="020C0504"/>
    <w:rsid w:val="020F3F82"/>
    <w:rsid w:val="021337A8"/>
    <w:rsid w:val="02154F00"/>
    <w:rsid w:val="02200558"/>
    <w:rsid w:val="022C2DDE"/>
    <w:rsid w:val="024125AD"/>
    <w:rsid w:val="02424F98"/>
    <w:rsid w:val="02451830"/>
    <w:rsid w:val="024B4F65"/>
    <w:rsid w:val="02522774"/>
    <w:rsid w:val="02716397"/>
    <w:rsid w:val="02742027"/>
    <w:rsid w:val="027B1EF4"/>
    <w:rsid w:val="027D39C5"/>
    <w:rsid w:val="02836A31"/>
    <w:rsid w:val="02842B55"/>
    <w:rsid w:val="02850B1B"/>
    <w:rsid w:val="028D4134"/>
    <w:rsid w:val="028E239B"/>
    <w:rsid w:val="028E669E"/>
    <w:rsid w:val="02925D70"/>
    <w:rsid w:val="02945151"/>
    <w:rsid w:val="02994D24"/>
    <w:rsid w:val="02AA4579"/>
    <w:rsid w:val="02B452E0"/>
    <w:rsid w:val="02B7449E"/>
    <w:rsid w:val="02B81004"/>
    <w:rsid w:val="02B93913"/>
    <w:rsid w:val="02BB7BC5"/>
    <w:rsid w:val="02C541E0"/>
    <w:rsid w:val="02C7326C"/>
    <w:rsid w:val="02C976C5"/>
    <w:rsid w:val="02CA2014"/>
    <w:rsid w:val="02CB3941"/>
    <w:rsid w:val="02CE36F0"/>
    <w:rsid w:val="02D253BA"/>
    <w:rsid w:val="02D664A5"/>
    <w:rsid w:val="02D70120"/>
    <w:rsid w:val="02DA08C0"/>
    <w:rsid w:val="02E746B3"/>
    <w:rsid w:val="02EA0804"/>
    <w:rsid w:val="02F03F7A"/>
    <w:rsid w:val="02F04987"/>
    <w:rsid w:val="02F15A26"/>
    <w:rsid w:val="02F3072B"/>
    <w:rsid w:val="02F35039"/>
    <w:rsid w:val="02F4686A"/>
    <w:rsid w:val="02F50E1A"/>
    <w:rsid w:val="02FC365E"/>
    <w:rsid w:val="03032EA1"/>
    <w:rsid w:val="03055083"/>
    <w:rsid w:val="030A33B2"/>
    <w:rsid w:val="0312457C"/>
    <w:rsid w:val="03146293"/>
    <w:rsid w:val="03173E54"/>
    <w:rsid w:val="03247659"/>
    <w:rsid w:val="032626D8"/>
    <w:rsid w:val="03276EB0"/>
    <w:rsid w:val="03320DD5"/>
    <w:rsid w:val="03367B19"/>
    <w:rsid w:val="033F3094"/>
    <w:rsid w:val="033F5E23"/>
    <w:rsid w:val="0341739D"/>
    <w:rsid w:val="03441AE0"/>
    <w:rsid w:val="034A5312"/>
    <w:rsid w:val="035906B9"/>
    <w:rsid w:val="035A07AB"/>
    <w:rsid w:val="035F7880"/>
    <w:rsid w:val="036572E0"/>
    <w:rsid w:val="036773BE"/>
    <w:rsid w:val="036B41D2"/>
    <w:rsid w:val="03745931"/>
    <w:rsid w:val="0375270B"/>
    <w:rsid w:val="0376026A"/>
    <w:rsid w:val="03763E10"/>
    <w:rsid w:val="03795E56"/>
    <w:rsid w:val="038A3C11"/>
    <w:rsid w:val="038F00BD"/>
    <w:rsid w:val="038F07EB"/>
    <w:rsid w:val="039F6B79"/>
    <w:rsid w:val="03A054FE"/>
    <w:rsid w:val="03A634A2"/>
    <w:rsid w:val="03A710E3"/>
    <w:rsid w:val="03AB7076"/>
    <w:rsid w:val="03B75E22"/>
    <w:rsid w:val="03B93704"/>
    <w:rsid w:val="03BC3316"/>
    <w:rsid w:val="03C7124D"/>
    <w:rsid w:val="03C956D7"/>
    <w:rsid w:val="03CD065E"/>
    <w:rsid w:val="03CD0F50"/>
    <w:rsid w:val="03D96519"/>
    <w:rsid w:val="03DC76EB"/>
    <w:rsid w:val="03DD4156"/>
    <w:rsid w:val="03DF3AAC"/>
    <w:rsid w:val="03DF7C94"/>
    <w:rsid w:val="03E4053E"/>
    <w:rsid w:val="03EE2D2D"/>
    <w:rsid w:val="03EE5120"/>
    <w:rsid w:val="03F95EAB"/>
    <w:rsid w:val="03FA4378"/>
    <w:rsid w:val="040D5A59"/>
    <w:rsid w:val="040E59E0"/>
    <w:rsid w:val="04177E90"/>
    <w:rsid w:val="041B3B0D"/>
    <w:rsid w:val="041F33A4"/>
    <w:rsid w:val="04227E09"/>
    <w:rsid w:val="04256881"/>
    <w:rsid w:val="04257D27"/>
    <w:rsid w:val="042C1175"/>
    <w:rsid w:val="042E72BA"/>
    <w:rsid w:val="04361A54"/>
    <w:rsid w:val="043837D8"/>
    <w:rsid w:val="043F0FCC"/>
    <w:rsid w:val="0458216E"/>
    <w:rsid w:val="04633D2A"/>
    <w:rsid w:val="04642403"/>
    <w:rsid w:val="046441B2"/>
    <w:rsid w:val="0470619B"/>
    <w:rsid w:val="047264E0"/>
    <w:rsid w:val="04732D97"/>
    <w:rsid w:val="047929EC"/>
    <w:rsid w:val="047931E4"/>
    <w:rsid w:val="047B754C"/>
    <w:rsid w:val="047C330E"/>
    <w:rsid w:val="04802BB2"/>
    <w:rsid w:val="048112FB"/>
    <w:rsid w:val="048A77DB"/>
    <w:rsid w:val="048B08F7"/>
    <w:rsid w:val="04997356"/>
    <w:rsid w:val="04B3013F"/>
    <w:rsid w:val="04BA605B"/>
    <w:rsid w:val="04BB6582"/>
    <w:rsid w:val="04BF51D4"/>
    <w:rsid w:val="04C30370"/>
    <w:rsid w:val="04C369FD"/>
    <w:rsid w:val="04C87276"/>
    <w:rsid w:val="04CE7B7F"/>
    <w:rsid w:val="04D13EAB"/>
    <w:rsid w:val="04D81CE8"/>
    <w:rsid w:val="04E16ACF"/>
    <w:rsid w:val="04E81C0B"/>
    <w:rsid w:val="04E92750"/>
    <w:rsid w:val="04ED1D07"/>
    <w:rsid w:val="04F33CBA"/>
    <w:rsid w:val="04FB0B72"/>
    <w:rsid w:val="05006805"/>
    <w:rsid w:val="05017788"/>
    <w:rsid w:val="050A0F30"/>
    <w:rsid w:val="051142A3"/>
    <w:rsid w:val="05150D13"/>
    <w:rsid w:val="052054D4"/>
    <w:rsid w:val="052779FB"/>
    <w:rsid w:val="052C7639"/>
    <w:rsid w:val="05490385"/>
    <w:rsid w:val="054A7C8A"/>
    <w:rsid w:val="054D6A6C"/>
    <w:rsid w:val="055D26AF"/>
    <w:rsid w:val="056534E0"/>
    <w:rsid w:val="056834A8"/>
    <w:rsid w:val="05684832"/>
    <w:rsid w:val="056C0F36"/>
    <w:rsid w:val="056E79C6"/>
    <w:rsid w:val="05763BC9"/>
    <w:rsid w:val="057A3526"/>
    <w:rsid w:val="057A799E"/>
    <w:rsid w:val="057E6F65"/>
    <w:rsid w:val="058647BE"/>
    <w:rsid w:val="05880374"/>
    <w:rsid w:val="05881910"/>
    <w:rsid w:val="05913966"/>
    <w:rsid w:val="05926E6B"/>
    <w:rsid w:val="059F17BF"/>
    <w:rsid w:val="05A259F9"/>
    <w:rsid w:val="05A44B94"/>
    <w:rsid w:val="05A72CCC"/>
    <w:rsid w:val="05A73DC5"/>
    <w:rsid w:val="05B336D5"/>
    <w:rsid w:val="05CC2A3B"/>
    <w:rsid w:val="05CD0D9A"/>
    <w:rsid w:val="05CF249D"/>
    <w:rsid w:val="05D14319"/>
    <w:rsid w:val="05D714EA"/>
    <w:rsid w:val="05E536E6"/>
    <w:rsid w:val="05EA1C44"/>
    <w:rsid w:val="05F2445C"/>
    <w:rsid w:val="05F84C68"/>
    <w:rsid w:val="06077942"/>
    <w:rsid w:val="060A0D89"/>
    <w:rsid w:val="060C359D"/>
    <w:rsid w:val="060F3722"/>
    <w:rsid w:val="062847B3"/>
    <w:rsid w:val="062B0B83"/>
    <w:rsid w:val="062C6587"/>
    <w:rsid w:val="062D67C8"/>
    <w:rsid w:val="06301A1B"/>
    <w:rsid w:val="0631403C"/>
    <w:rsid w:val="0633380C"/>
    <w:rsid w:val="0638362B"/>
    <w:rsid w:val="063E600A"/>
    <w:rsid w:val="06405659"/>
    <w:rsid w:val="064327CF"/>
    <w:rsid w:val="0645654E"/>
    <w:rsid w:val="064F5725"/>
    <w:rsid w:val="06510CDF"/>
    <w:rsid w:val="065C27A8"/>
    <w:rsid w:val="065F50DA"/>
    <w:rsid w:val="06602F2C"/>
    <w:rsid w:val="06626021"/>
    <w:rsid w:val="066D2CED"/>
    <w:rsid w:val="066E2C0B"/>
    <w:rsid w:val="06700010"/>
    <w:rsid w:val="06734EB6"/>
    <w:rsid w:val="067C24CF"/>
    <w:rsid w:val="068731B8"/>
    <w:rsid w:val="068A1FDD"/>
    <w:rsid w:val="069002BE"/>
    <w:rsid w:val="06906B8C"/>
    <w:rsid w:val="069725BC"/>
    <w:rsid w:val="069A3A7C"/>
    <w:rsid w:val="06A24D7D"/>
    <w:rsid w:val="06A6750E"/>
    <w:rsid w:val="06A729E1"/>
    <w:rsid w:val="06A94232"/>
    <w:rsid w:val="06AB1C7E"/>
    <w:rsid w:val="06AC05E7"/>
    <w:rsid w:val="06AF1D16"/>
    <w:rsid w:val="06AF3414"/>
    <w:rsid w:val="06B15237"/>
    <w:rsid w:val="06BA5EB2"/>
    <w:rsid w:val="06CF1EF4"/>
    <w:rsid w:val="06D17DB1"/>
    <w:rsid w:val="06E444B8"/>
    <w:rsid w:val="06F76FBB"/>
    <w:rsid w:val="070615F0"/>
    <w:rsid w:val="07085235"/>
    <w:rsid w:val="07146D7A"/>
    <w:rsid w:val="071A4300"/>
    <w:rsid w:val="0724090E"/>
    <w:rsid w:val="072C5901"/>
    <w:rsid w:val="072D6955"/>
    <w:rsid w:val="07355298"/>
    <w:rsid w:val="073633AE"/>
    <w:rsid w:val="0738618B"/>
    <w:rsid w:val="074E1705"/>
    <w:rsid w:val="074E279C"/>
    <w:rsid w:val="075268B6"/>
    <w:rsid w:val="075C0378"/>
    <w:rsid w:val="075C613A"/>
    <w:rsid w:val="07616A73"/>
    <w:rsid w:val="0768627D"/>
    <w:rsid w:val="07774E9B"/>
    <w:rsid w:val="07852CE2"/>
    <w:rsid w:val="07886D75"/>
    <w:rsid w:val="079A77BC"/>
    <w:rsid w:val="079D6C92"/>
    <w:rsid w:val="079E20C5"/>
    <w:rsid w:val="07A36583"/>
    <w:rsid w:val="07A757F6"/>
    <w:rsid w:val="07A92FCD"/>
    <w:rsid w:val="07AB5A16"/>
    <w:rsid w:val="07C32EAB"/>
    <w:rsid w:val="07CE7516"/>
    <w:rsid w:val="07DA5629"/>
    <w:rsid w:val="07DE3B60"/>
    <w:rsid w:val="07E54B9E"/>
    <w:rsid w:val="08010DA7"/>
    <w:rsid w:val="08033960"/>
    <w:rsid w:val="080954A3"/>
    <w:rsid w:val="080F3123"/>
    <w:rsid w:val="082209F5"/>
    <w:rsid w:val="08220E8F"/>
    <w:rsid w:val="08242F28"/>
    <w:rsid w:val="08252E6C"/>
    <w:rsid w:val="08275EA4"/>
    <w:rsid w:val="08294CB5"/>
    <w:rsid w:val="083036B5"/>
    <w:rsid w:val="08310F19"/>
    <w:rsid w:val="08331FC1"/>
    <w:rsid w:val="083611A9"/>
    <w:rsid w:val="083901EB"/>
    <w:rsid w:val="08394081"/>
    <w:rsid w:val="083943C5"/>
    <w:rsid w:val="08395DAB"/>
    <w:rsid w:val="08404FD2"/>
    <w:rsid w:val="084A2513"/>
    <w:rsid w:val="08515651"/>
    <w:rsid w:val="08587D37"/>
    <w:rsid w:val="085D6EF2"/>
    <w:rsid w:val="085F59AE"/>
    <w:rsid w:val="086303CB"/>
    <w:rsid w:val="08674312"/>
    <w:rsid w:val="086B17B3"/>
    <w:rsid w:val="0875786E"/>
    <w:rsid w:val="0881684A"/>
    <w:rsid w:val="088C3E25"/>
    <w:rsid w:val="08927463"/>
    <w:rsid w:val="08986B20"/>
    <w:rsid w:val="08991A5A"/>
    <w:rsid w:val="089C49FA"/>
    <w:rsid w:val="08AF073A"/>
    <w:rsid w:val="08BD5FE1"/>
    <w:rsid w:val="08BE7798"/>
    <w:rsid w:val="08C333B4"/>
    <w:rsid w:val="08C46A4F"/>
    <w:rsid w:val="08C654F8"/>
    <w:rsid w:val="08CA79C7"/>
    <w:rsid w:val="08D54B6A"/>
    <w:rsid w:val="08D73E78"/>
    <w:rsid w:val="08DB6139"/>
    <w:rsid w:val="08DD4FAE"/>
    <w:rsid w:val="08DE001E"/>
    <w:rsid w:val="08DE502C"/>
    <w:rsid w:val="08DE7E03"/>
    <w:rsid w:val="08EB2EDB"/>
    <w:rsid w:val="08ED6D3B"/>
    <w:rsid w:val="08FB16E4"/>
    <w:rsid w:val="08FB2C3C"/>
    <w:rsid w:val="08FE2EDE"/>
    <w:rsid w:val="08FE5206"/>
    <w:rsid w:val="090E2C7F"/>
    <w:rsid w:val="09140F8D"/>
    <w:rsid w:val="09150DAF"/>
    <w:rsid w:val="09155095"/>
    <w:rsid w:val="091D10D0"/>
    <w:rsid w:val="09210482"/>
    <w:rsid w:val="092105FC"/>
    <w:rsid w:val="09222AB2"/>
    <w:rsid w:val="092629C0"/>
    <w:rsid w:val="09266115"/>
    <w:rsid w:val="093303B8"/>
    <w:rsid w:val="094318A6"/>
    <w:rsid w:val="09446DB4"/>
    <w:rsid w:val="094811BB"/>
    <w:rsid w:val="094F18C1"/>
    <w:rsid w:val="0954257E"/>
    <w:rsid w:val="09583F76"/>
    <w:rsid w:val="095929D4"/>
    <w:rsid w:val="095A003F"/>
    <w:rsid w:val="095B02C8"/>
    <w:rsid w:val="09606CDC"/>
    <w:rsid w:val="09631FC1"/>
    <w:rsid w:val="09651D94"/>
    <w:rsid w:val="096F5B71"/>
    <w:rsid w:val="097F0134"/>
    <w:rsid w:val="098601E8"/>
    <w:rsid w:val="098A1F77"/>
    <w:rsid w:val="09915044"/>
    <w:rsid w:val="099872CF"/>
    <w:rsid w:val="09991A94"/>
    <w:rsid w:val="099B0B43"/>
    <w:rsid w:val="09A07C38"/>
    <w:rsid w:val="09A137B2"/>
    <w:rsid w:val="09A2636C"/>
    <w:rsid w:val="09A44BA0"/>
    <w:rsid w:val="09AA495F"/>
    <w:rsid w:val="09AC53C9"/>
    <w:rsid w:val="09B630C3"/>
    <w:rsid w:val="09BD4BE0"/>
    <w:rsid w:val="09C222A5"/>
    <w:rsid w:val="09C27E4D"/>
    <w:rsid w:val="09C81C8D"/>
    <w:rsid w:val="09CB6B07"/>
    <w:rsid w:val="09CC1439"/>
    <w:rsid w:val="09CD0E22"/>
    <w:rsid w:val="09CD713D"/>
    <w:rsid w:val="09DA121F"/>
    <w:rsid w:val="09F43143"/>
    <w:rsid w:val="09FA2B3C"/>
    <w:rsid w:val="09FA772F"/>
    <w:rsid w:val="09FB6D64"/>
    <w:rsid w:val="09FD0F85"/>
    <w:rsid w:val="0A030CE9"/>
    <w:rsid w:val="0A0D0EE1"/>
    <w:rsid w:val="0A1B5347"/>
    <w:rsid w:val="0A33530F"/>
    <w:rsid w:val="0A346C5C"/>
    <w:rsid w:val="0A451ABA"/>
    <w:rsid w:val="0A4707FD"/>
    <w:rsid w:val="0A486965"/>
    <w:rsid w:val="0A4B2E8D"/>
    <w:rsid w:val="0A5317DF"/>
    <w:rsid w:val="0A534D83"/>
    <w:rsid w:val="0A564C39"/>
    <w:rsid w:val="0A5B0F4C"/>
    <w:rsid w:val="0A61640A"/>
    <w:rsid w:val="0A6536D8"/>
    <w:rsid w:val="0A6A580E"/>
    <w:rsid w:val="0A6B730C"/>
    <w:rsid w:val="0A7611EF"/>
    <w:rsid w:val="0A765DBA"/>
    <w:rsid w:val="0A7A1EF7"/>
    <w:rsid w:val="0A937773"/>
    <w:rsid w:val="0A987047"/>
    <w:rsid w:val="0AA05D85"/>
    <w:rsid w:val="0AAD109D"/>
    <w:rsid w:val="0ABB417A"/>
    <w:rsid w:val="0ABE47A4"/>
    <w:rsid w:val="0AC71E05"/>
    <w:rsid w:val="0ACC2910"/>
    <w:rsid w:val="0ACC3151"/>
    <w:rsid w:val="0AD014F5"/>
    <w:rsid w:val="0AD16821"/>
    <w:rsid w:val="0AD45A3C"/>
    <w:rsid w:val="0AD60B60"/>
    <w:rsid w:val="0ADC78D2"/>
    <w:rsid w:val="0ADF4793"/>
    <w:rsid w:val="0AE11813"/>
    <w:rsid w:val="0AE3323E"/>
    <w:rsid w:val="0AE3404E"/>
    <w:rsid w:val="0AEB11A6"/>
    <w:rsid w:val="0AEC3E44"/>
    <w:rsid w:val="0AEE609E"/>
    <w:rsid w:val="0AEF478A"/>
    <w:rsid w:val="0AF51E84"/>
    <w:rsid w:val="0AFA1E0F"/>
    <w:rsid w:val="0AFC1AD5"/>
    <w:rsid w:val="0B041299"/>
    <w:rsid w:val="0B062542"/>
    <w:rsid w:val="0B0E47F4"/>
    <w:rsid w:val="0B112BB9"/>
    <w:rsid w:val="0B14238E"/>
    <w:rsid w:val="0B1C17AD"/>
    <w:rsid w:val="0B1F62C7"/>
    <w:rsid w:val="0B283787"/>
    <w:rsid w:val="0B2D6F6E"/>
    <w:rsid w:val="0B324625"/>
    <w:rsid w:val="0B324CD2"/>
    <w:rsid w:val="0B345DB1"/>
    <w:rsid w:val="0B363DD8"/>
    <w:rsid w:val="0B3A4657"/>
    <w:rsid w:val="0B3C5BB9"/>
    <w:rsid w:val="0B4372E2"/>
    <w:rsid w:val="0B48487F"/>
    <w:rsid w:val="0B5979A6"/>
    <w:rsid w:val="0B5A2079"/>
    <w:rsid w:val="0B5B5996"/>
    <w:rsid w:val="0B5C3E34"/>
    <w:rsid w:val="0B5F7467"/>
    <w:rsid w:val="0B6075D7"/>
    <w:rsid w:val="0B627AD4"/>
    <w:rsid w:val="0B6A0BB3"/>
    <w:rsid w:val="0B735FF2"/>
    <w:rsid w:val="0B792EB2"/>
    <w:rsid w:val="0B8035EB"/>
    <w:rsid w:val="0B84164E"/>
    <w:rsid w:val="0B892750"/>
    <w:rsid w:val="0B89731E"/>
    <w:rsid w:val="0B904412"/>
    <w:rsid w:val="0B90485D"/>
    <w:rsid w:val="0B913EDA"/>
    <w:rsid w:val="0B9C76A8"/>
    <w:rsid w:val="0BA50775"/>
    <w:rsid w:val="0BA749E5"/>
    <w:rsid w:val="0BAC24A8"/>
    <w:rsid w:val="0BAE1323"/>
    <w:rsid w:val="0BB42E0A"/>
    <w:rsid w:val="0BBA3391"/>
    <w:rsid w:val="0BD05C8A"/>
    <w:rsid w:val="0BD62605"/>
    <w:rsid w:val="0BDC3258"/>
    <w:rsid w:val="0BDE3581"/>
    <w:rsid w:val="0BE52963"/>
    <w:rsid w:val="0BE57BC8"/>
    <w:rsid w:val="0BE85349"/>
    <w:rsid w:val="0BF57A28"/>
    <w:rsid w:val="0BF845E9"/>
    <w:rsid w:val="0BFA1A53"/>
    <w:rsid w:val="0C074F06"/>
    <w:rsid w:val="0C0B1E5B"/>
    <w:rsid w:val="0C146F99"/>
    <w:rsid w:val="0C163DCB"/>
    <w:rsid w:val="0C1A584B"/>
    <w:rsid w:val="0C1F5892"/>
    <w:rsid w:val="0C207391"/>
    <w:rsid w:val="0C2275D5"/>
    <w:rsid w:val="0C2D70F9"/>
    <w:rsid w:val="0C342312"/>
    <w:rsid w:val="0C363AA9"/>
    <w:rsid w:val="0C373B19"/>
    <w:rsid w:val="0C3F7E0B"/>
    <w:rsid w:val="0C456335"/>
    <w:rsid w:val="0C53740C"/>
    <w:rsid w:val="0C563E70"/>
    <w:rsid w:val="0C631545"/>
    <w:rsid w:val="0C6E187C"/>
    <w:rsid w:val="0C7D4D8F"/>
    <w:rsid w:val="0C80052F"/>
    <w:rsid w:val="0C8C06D3"/>
    <w:rsid w:val="0C900DC2"/>
    <w:rsid w:val="0C980884"/>
    <w:rsid w:val="0C9961AF"/>
    <w:rsid w:val="0C9A18AD"/>
    <w:rsid w:val="0C9A50FF"/>
    <w:rsid w:val="0C9B3EE0"/>
    <w:rsid w:val="0C9C2E80"/>
    <w:rsid w:val="0CA20B1F"/>
    <w:rsid w:val="0CA44E41"/>
    <w:rsid w:val="0CA77405"/>
    <w:rsid w:val="0CA83489"/>
    <w:rsid w:val="0CA96FA5"/>
    <w:rsid w:val="0CAE5B1B"/>
    <w:rsid w:val="0CB224D8"/>
    <w:rsid w:val="0CB31FF7"/>
    <w:rsid w:val="0CB45BFD"/>
    <w:rsid w:val="0CB7503A"/>
    <w:rsid w:val="0CB75099"/>
    <w:rsid w:val="0CB80D6E"/>
    <w:rsid w:val="0CBE2C1D"/>
    <w:rsid w:val="0CBF360E"/>
    <w:rsid w:val="0CC10497"/>
    <w:rsid w:val="0CC30BC5"/>
    <w:rsid w:val="0CC42150"/>
    <w:rsid w:val="0CC45545"/>
    <w:rsid w:val="0CC71781"/>
    <w:rsid w:val="0CCB0FDF"/>
    <w:rsid w:val="0CCD2A5C"/>
    <w:rsid w:val="0CDC1817"/>
    <w:rsid w:val="0CDC515C"/>
    <w:rsid w:val="0D0167C5"/>
    <w:rsid w:val="0D0B2A13"/>
    <w:rsid w:val="0D112021"/>
    <w:rsid w:val="0D12133D"/>
    <w:rsid w:val="0D1F7151"/>
    <w:rsid w:val="0D200D54"/>
    <w:rsid w:val="0D2B7DB2"/>
    <w:rsid w:val="0D3152D9"/>
    <w:rsid w:val="0D354A50"/>
    <w:rsid w:val="0D384916"/>
    <w:rsid w:val="0D427E08"/>
    <w:rsid w:val="0D444358"/>
    <w:rsid w:val="0D4775E8"/>
    <w:rsid w:val="0D4A1977"/>
    <w:rsid w:val="0D4B602E"/>
    <w:rsid w:val="0D511FCD"/>
    <w:rsid w:val="0D52698E"/>
    <w:rsid w:val="0D583C5F"/>
    <w:rsid w:val="0D5D658F"/>
    <w:rsid w:val="0D6029A5"/>
    <w:rsid w:val="0D6063D4"/>
    <w:rsid w:val="0D665CD7"/>
    <w:rsid w:val="0D667E20"/>
    <w:rsid w:val="0D693967"/>
    <w:rsid w:val="0D6B6C90"/>
    <w:rsid w:val="0D7170F8"/>
    <w:rsid w:val="0D922931"/>
    <w:rsid w:val="0D95263C"/>
    <w:rsid w:val="0D9B6A6D"/>
    <w:rsid w:val="0DA81B9F"/>
    <w:rsid w:val="0DAD79F2"/>
    <w:rsid w:val="0DB403B1"/>
    <w:rsid w:val="0DB47CEC"/>
    <w:rsid w:val="0DBB3CA5"/>
    <w:rsid w:val="0DBB4EDD"/>
    <w:rsid w:val="0DC37BF2"/>
    <w:rsid w:val="0DC436B0"/>
    <w:rsid w:val="0DC62A65"/>
    <w:rsid w:val="0DC9693F"/>
    <w:rsid w:val="0DCC1715"/>
    <w:rsid w:val="0DCE4BC6"/>
    <w:rsid w:val="0DD82C48"/>
    <w:rsid w:val="0DDB6385"/>
    <w:rsid w:val="0DE057D2"/>
    <w:rsid w:val="0DF024FC"/>
    <w:rsid w:val="0DF0632D"/>
    <w:rsid w:val="0DF475E0"/>
    <w:rsid w:val="0E0E09E4"/>
    <w:rsid w:val="0E0E0AE3"/>
    <w:rsid w:val="0E184477"/>
    <w:rsid w:val="0E1A4501"/>
    <w:rsid w:val="0E1A78B5"/>
    <w:rsid w:val="0E21196E"/>
    <w:rsid w:val="0E227E98"/>
    <w:rsid w:val="0E27140B"/>
    <w:rsid w:val="0E275D7B"/>
    <w:rsid w:val="0E2D4D70"/>
    <w:rsid w:val="0E3B2663"/>
    <w:rsid w:val="0E443DBA"/>
    <w:rsid w:val="0E465F52"/>
    <w:rsid w:val="0E4C7DA3"/>
    <w:rsid w:val="0E576A70"/>
    <w:rsid w:val="0E587DB8"/>
    <w:rsid w:val="0E6B437E"/>
    <w:rsid w:val="0E6B6A22"/>
    <w:rsid w:val="0E6F53AB"/>
    <w:rsid w:val="0E701F1A"/>
    <w:rsid w:val="0E793535"/>
    <w:rsid w:val="0E795DEE"/>
    <w:rsid w:val="0E7B3260"/>
    <w:rsid w:val="0E804638"/>
    <w:rsid w:val="0E854758"/>
    <w:rsid w:val="0EA50BFC"/>
    <w:rsid w:val="0EAB0282"/>
    <w:rsid w:val="0EC370FE"/>
    <w:rsid w:val="0EC37F14"/>
    <w:rsid w:val="0EC4408A"/>
    <w:rsid w:val="0ECA6F05"/>
    <w:rsid w:val="0ECD6BD5"/>
    <w:rsid w:val="0EDA3DE0"/>
    <w:rsid w:val="0EDB5829"/>
    <w:rsid w:val="0EE241B0"/>
    <w:rsid w:val="0EE470B9"/>
    <w:rsid w:val="0EE51F3F"/>
    <w:rsid w:val="0EE67C37"/>
    <w:rsid w:val="0EE96C61"/>
    <w:rsid w:val="0EEF6278"/>
    <w:rsid w:val="0F043F0A"/>
    <w:rsid w:val="0F070719"/>
    <w:rsid w:val="0F0E340F"/>
    <w:rsid w:val="0F110F65"/>
    <w:rsid w:val="0F126FC2"/>
    <w:rsid w:val="0F167114"/>
    <w:rsid w:val="0F1821BC"/>
    <w:rsid w:val="0F1F71AB"/>
    <w:rsid w:val="0F206FE9"/>
    <w:rsid w:val="0F246E43"/>
    <w:rsid w:val="0F2F2F21"/>
    <w:rsid w:val="0F303168"/>
    <w:rsid w:val="0F3346BD"/>
    <w:rsid w:val="0F356B4F"/>
    <w:rsid w:val="0F3E6D6B"/>
    <w:rsid w:val="0F521390"/>
    <w:rsid w:val="0F551890"/>
    <w:rsid w:val="0F5A4BDF"/>
    <w:rsid w:val="0F5B58BB"/>
    <w:rsid w:val="0F6735DF"/>
    <w:rsid w:val="0F6A4B85"/>
    <w:rsid w:val="0F716691"/>
    <w:rsid w:val="0F735DB2"/>
    <w:rsid w:val="0F7840D6"/>
    <w:rsid w:val="0F7B2D75"/>
    <w:rsid w:val="0F873A0E"/>
    <w:rsid w:val="0F883C70"/>
    <w:rsid w:val="0F8B6CB6"/>
    <w:rsid w:val="0F9177B5"/>
    <w:rsid w:val="0F9A3FA1"/>
    <w:rsid w:val="0F9E606C"/>
    <w:rsid w:val="0FA17F55"/>
    <w:rsid w:val="0FA35FFE"/>
    <w:rsid w:val="0FA821B8"/>
    <w:rsid w:val="0FAE546F"/>
    <w:rsid w:val="0FB50512"/>
    <w:rsid w:val="0FB57FA4"/>
    <w:rsid w:val="0FB8781F"/>
    <w:rsid w:val="0FC24482"/>
    <w:rsid w:val="0FC754B6"/>
    <w:rsid w:val="0FCD46F4"/>
    <w:rsid w:val="0FCE3065"/>
    <w:rsid w:val="0FE107E2"/>
    <w:rsid w:val="0FE336DE"/>
    <w:rsid w:val="0FED1D3E"/>
    <w:rsid w:val="10026084"/>
    <w:rsid w:val="10065756"/>
    <w:rsid w:val="100A69A4"/>
    <w:rsid w:val="100E17EE"/>
    <w:rsid w:val="10140347"/>
    <w:rsid w:val="101B54B3"/>
    <w:rsid w:val="101C6175"/>
    <w:rsid w:val="102E7ECD"/>
    <w:rsid w:val="104210EE"/>
    <w:rsid w:val="10444B77"/>
    <w:rsid w:val="10447AF9"/>
    <w:rsid w:val="104835D9"/>
    <w:rsid w:val="10495D6E"/>
    <w:rsid w:val="104C1069"/>
    <w:rsid w:val="10513C3F"/>
    <w:rsid w:val="10541F36"/>
    <w:rsid w:val="105D2D1E"/>
    <w:rsid w:val="10623D8F"/>
    <w:rsid w:val="10625663"/>
    <w:rsid w:val="106737C7"/>
    <w:rsid w:val="10703686"/>
    <w:rsid w:val="1075160B"/>
    <w:rsid w:val="107760A9"/>
    <w:rsid w:val="10780D89"/>
    <w:rsid w:val="107B52AA"/>
    <w:rsid w:val="107D625B"/>
    <w:rsid w:val="107E75D8"/>
    <w:rsid w:val="10805AB8"/>
    <w:rsid w:val="108161A3"/>
    <w:rsid w:val="1089301A"/>
    <w:rsid w:val="108B29C7"/>
    <w:rsid w:val="10901F21"/>
    <w:rsid w:val="10974AA9"/>
    <w:rsid w:val="10A21388"/>
    <w:rsid w:val="10A60889"/>
    <w:rsid w:val="10AA391A"/>
    <w:rsid w:val="10B27075"/>
    <w:rsid w:val="10B27B37"/>
    <w:rsid w:val="10B33FFC"/>
    <w:rsid w:val="10BA25C0"/>
    <w:rsid w:val="10BE4FAA"/>
    <w:rsid w:val="10C02E80"/>
    <w:rsid w:val="10C121EA"/>
    <w:rsid w:val="10C2285B"/>
    <w:rsid w:val="10C54276"/>
    <w:rsid w:val="10D27169"/>
    <w:rsid w:val="10D309E2"/>
    <w:rsid w:val="10D621B1"/>
    <w:rsid w:val="10D81E5C"/>
    <w:rsid w:val="10DA39AB"/>
    <w:rsid w:val="10DE746C"/>
    <w:rsid w:val="10E154B4"/>
    <w:rsid w:val="10E35E53"/>
    <w:rsid w:val="10E657ED"/>
    <w:rsid w:val="10EB7A42"/>
    <w:rsid w:val="10F16967"/>
    <w:rsid w:val="10F21B48"/>
    <w:rsid w:val="10F61CDD"/>
    <w:rsid w:val="10F91FDE"/>
    <w:rsid w:val="10F941E9"/>
    <w:rsid w:val="10FD39C4"/>
    <w:rsid w:val="11083015"/>
    <w:rsid w:val="110A357B"/>
    <w:rsid w:val="110D2E2E"/>
    <w:rsid w:val="1113498F"/>
    <w:rsid w:val="11145DE6"/>
    <w:rsid w:val="111A2147"/>
    <w:rsid w:val="112252CB"/>
    <w:rsid w:val="11360EF9"/>
    <w:rsid w:val="113641BB"/>
    <w:rsid w:val="11390D90"/>
    <w:rsid w:val="113B0B58"/>
    <w:rsid w:val="113D4F12"/>
    <w:rsid w:val="113D775B"/>
    <w:rsid w:val="11410876"/>
    <w:rsid w:val="114608E7"/>
    <w:rsid w:val="11470C68"/>
    <w:rsid w:val="114F3D65"/>
    <w:rsid w:val="115347BC"/>
    <w:rsid w:val="11545887"/>
    <w:rsid w:val="11597C64"/>
    <w:rsid w:val="11602A9E"/>
    <w:rsid w:val="116228E3"/>
    <w:rsid w:val="11631325"/>
    <w:rsid w:val="116345A4"/>
    <w:rsid w:val="11667833"/>
    <w:rsid w:val="11687433"/>
    <w:rsid w:val="1178450A"/>
    <w:rsid w:val="117B53DF"/>
    <w:rsid w:val="117B71D3"/>
    <w:rsid w:val="117F3E6E"/>
    <w:rsid w:val="11814B86"/>
    <w:rsid w:val="11821F79"/>
    <w:rsid w:val="11845F00"/>
    <w:rsid w:val="11885DD3"/>
    <w:rsid w:val="118A58E4"/>
    <w:rsid w:val="118C56EA"/>
    <w:rsid w:val="118F0DB3"/>
    <w:rsid w:val="11916F88"/>
    <w:rsid w:val="11A51BB6"/>
    <w:rsid w:val="11AC6860"/>
    <w:rsid w:val="11B1238B"/>
    <w:rsid w:val="11B62D0B"/>
    <w:rsid w:val="11BB2EE7"/>
    <w:rsid w:val="11BE6E3E"/>
    <w:rsid w:val="11BF32D9"/>
    <w:rsid w:val="11C01746"/>
    <w:rsid w:val="11C24AE6"/>
    <w:rsid w:val="11C52A21"/>
    <w:rsid w:val="11C75474"/>
    <w:rsid w:val="11D26FDB"/>
    <w:rsid w:val="11D435B9"/>
    <w:rsid w:val="11D8409F"/>
    <w:rsid w:val="11D95083"/>
    <w:rsid w:val="11DD2AAB"/>
    <w:rsid w:val="11DE26F2"/>
    <w:rsid w:val="11DF6987"/>
    <w:rsid w:val="11EA23C8"/>
    <w:rsid w:val="11EB5C95"/>
    <w:rsid w:val="11ED6242"/>
    <w:rsid w:val="11F27C95"/>
    <w:rsid w:val="12010E7D"/>
    <w:rsid w:val="120506CD"/>
    <w:rsid w:val="12075A2C"/>
    <w:rsid w:val="120A0C4D"/>
    <w:rsid w:val="120A38DA"/>
    <w:rsid w:val="12101A57"/>
    <w:rsid w:val="12193170"/>
    <w:rsid w:val="12193813"/>
    <w:rsid w:val="121D6AE3"/>
    <w:rsid w:val="121F75CC"/>
    <w:rsid w:val="12271CB0"/>
    <w:rsid w:val="122C1A12"/>
    <w:rsid w:val="1232130B"/>
    <w:rsid w:val="12330478"/>
    <w:rsid w:val="123338D3"/>
    <w:rsid w:val="12395D63"/>
    <w:rsid w:val="12401AD9"/>
    <w:rsid w:val="124038C8"/>
    <w:rsid w:val="12421E9D"/>
    <w:rsid w:val="1248421F"/>
    <w:rsid w:val="12571C4D"/>
    <w:rsid w:val="125C09FF"/>
    <w:rsid w:val="12657F0C"/>
    <w:rsid w:val="126830F6"/>
    <w:rsid w:val="126B5207"/>
    <w:rsid w:val="126F57E1"/>
    <w:rsid w:val="12760E78"/>
    <w:rsid w:val="127673DB"/>
    <w:rsid w:val="127755C8"/>
    <w:rsid w:val="127E0189"/>
    <w:rsid w:val="12810A1D"/>
    <w:rsid w:val="12854B81"/>
    <w:rsid w:val="128E070E"/>
    <w:rsid w:val="12927837"/>
    <w:rsid w:val="129B0ED7"/>
    <w:rsid w:val="12A30BAA"/>
    <w:rsid w:val="12A709D5"/>
    <w:rsid w:val="12A867C5"/>
    <w:rsid w:val="12B56515"/>
    <w:rsid w:val="12BE11B2"/>
    <w:rsid w:val="12BE1828"/>
    <w:rsid w:val="12C10F70"/>
    <w:rsid w:val="12C21464"/>
    <w:rsid w:val="12C40A29"/>
    <w:rsid w:val="12C42DA1"/>
    <w:rsid w:val="12C45CF0"/>
    <w:rsid w:val="12C948D2"/>
    <w:rsid w:val="12CB14EE"/>
    <w:rsid w:val="12CE6902"/>
    <w:rsid w:val="12D54B1A"/>
    <w:rsid w:val="12E93B89"/>
    <w:rsid w:val="12EE0F39"/>
    <w:rsid w:val="12EF155A"/>
    <w:rsid w:val="12F17350"/>
    <w:rsid w:val="12F712FB"/>
    <w:rsid w:val="12FA0E2E"/>
    <w:rsid w:val="12FF7A62"/>
    <w:rsid w:val="13037A88"/>
    <w:rsid w:val="1318450B"/>
    <w:rsid w:val="133844CA"/>
    <w:rsid w:val="1347596A"/>
    <w:rsid w:val="13477178"/>
    <w:rsid w:val="134B5A55"/>
    <w:rsid w:val="134C0AA1"/>
    <w:rsid w:val="134F5D9B"/>
    <w:rsid w:val="135369A3"/>
    <w:rsid w:val="13576E97"/>
    <w:rsid w:val="136041BC"/>
    <w:rsid w:val="13663337"/>
    <w:rsid w:val="136F4FE6"/>
    <w:rsid w:val="13713F6F"/>
    <w:rsid w:val="13762A14"/>
    <w:rsid w:val="13790756"/>
    <w:rsid w:val="137B6EE7"/>
    <w:rsid w:val="137E2E27"/>
    <w:rsid w:val="138C25C7"/>
    <w:rsid w:val="138E61F6"/>
    <w:rsid w:val="138E741D"/>
    <w:rsid w:val="138F279E"/>
    <w:rsid w:val="1390357D"/>
    <w:rsid w:val="139670E5"/>
    <w:rsid w:val="13970D93"/>
    <w:rsid w:val="139F1C24"/>
    <w:rsid w:val="13A023E7"/>
    <w:rsid w:val="13A04270"/>
    <w:rsid w:val="13A86C77"/>
    <w:rsid w:val="13A90344"/>
    <w:rsid w:val="13A9454D"/>
    <w:rsid w:val="13AA7C1A"/>
    <w:rsid w:val="13B35BBD"/>
    <w:rsid w:val="13BF3D28"/>
    <w:rsid w:val="13C32466"/>
    <w:rsid w:val="13C5566A"/>
    <w:rsid w:val="13C77F07"/>
    <w:rsid w:val="13CE4E2F"/>
    <w:rsid w:val="13CF48B4"/>
    <w:rsid w:val="13E45E4B"/>
    <w:rsid w:val="13E62DA6"/>
    <w:rsid w:val="13EE5B08"/>
    <w:rsid w:val="13F211C8"/>
    <w:rsid w:val="13F5027E"/>
    <w:rsid w:val="13F57229"/>
    <w:rsid w:val="13F60043"/>
    <w:rsid w:val="13F63AC9"/>
    <w:rsid w:val="13FE1F68"/>
    <w:rsid w:val="13FF4761"/>
    <w:rsid w:val="1401651E"/>
    <w:rsid w:val="14065625"/>
    <w:rsid w:val="14127CF3"/>
    <w:rsid w:val="1416357F"/>
    <w:rsid w:val="14175C6D"/>
    <w:rsid w:val="14182B9E"/>
    <w:rsid w:val="141A193D"/>
    <w:rsid w:val="141E08F4"/>
    <w:rsid w:val="14211963"/>
    <w:rsid w:val="14213028"/>
    <w:rsid w:val="142160CA"/>
    <w:rsid w:val="142E4E6B"/>
    <w:rsid w:val="14332094"/>
    <w:rsid w:val="143B554F"/>
    <w:rsid w:val="144128ED"/>
    <w:rsid w:val="144D721A"/>
    <w:rsid w:val="14504C78"/>
    <w:rsid w:val="14552700"/>
    <w:rsid w:val="1455301F"/>
    <w:rsid w:val="145E0ED6"/>
    <w:rsid w:val="145F3E15"/>
    <w:rsid w:val="145F4E9E"/>
    <w:rsid w:val="14662A35"/>
    <w:rsid w:val="1468041E"/>
    <w:rsid w:val="146A5814"/>
    <w:rsid w:val="146D4E79"/>
    <w:rsid w:val="1479121F"/>
    <w:rsid w:val="147C1504"/>
    <w:rsid w:val="148112AD"/>
    <w:rsid w:val="148B2440"/>
    <w:rsid w:val="148B578A"/>
    <w:rsid w:val="14933736"/>
    <w:rsid w:val="149D19D1"/>
    <w:rsid w:val="14AA1497"/>
    <w:rsid w:val="14AD1F0C"/>
    <w:rsid w:val="14AD2447"/>
    <w:rsid w:val="14BD0C90"/>
    <w:rsid w:val="14BD7435"/>
    <w:rsid w:val="14D13225"/>
    <w:rsid w:val="14D41B03"/>
    <w:rsid w:val="14D63FB7"/>
    <w:rsid w:val="14E11E90"/>
    <w:rsid w:val="14EC7262"/>
    <w:rsid w:val="14F50637"/>
    <w:rsid w:val="14F56962"/>
    <w:rsid w:val="14F72E20"/>
    <w:rsid w:val="14FD3DC3"/>
    <w:rsid w:val="14FE4181"/>
    <w:rsid w:val="15052F44"/>
    <w:rsid w:val="1513143F"/>
    <w:rsid w:val="152446F6"/>
    <w:rsid w:val="15274A34"/>
    <w:rsid w:val="152C74BF"/>
    <w:rsid w:val="152E54C4"/>
    <w:rsid w:val="1535555F"/>
    <w:rsid w:val="15382813"/>
    <w:rsid w:val="154B27A9"/>
    <w:rsid w:val="154B6CF6"/>
    <w:rsid w:val="15516306"/>
    <w:rsid w:val="155B06BC"/>
    <w:rsid w:val="155B6FCC"/>
    <w:rsid w:val="15620F8B"/>
    <w:rsid w:val="156514F3"/>
    <w:rsid w:val="15657023"/>
    <w:rsid w:val="156B264F"/>
    <w:rsid w:val="15707694"/>
    <w:rsid w:val="157477F0"/>
    <w:rsid w:val="157839EE"/>
    <w:rsid w:val="157F4B83"/>
    <w:rsid w:val="15862A25"/>
    <w:rsid w:val="15864057"/>
    <w:rsid w:val="158A2F64"/>
    <w:rsid w:val="158C53F6"/>
    <w:rsid w:val="15946EC2"/>
    <w:rsid w:val="1594709F"/>
    <w:rsid w:val="159B1410"/>
    <w:rsid w:val="159D2E6C"/>
    <w:rsid w:val="159E4A3E"/>
    <w:rsid w:val="15A412DF"/>
    <w:rsid w:val="15A625C0"/>
    <w:rsid w:val="15A70541"/>
    <w:rsid w:val="15A7643A"/>
    <w:rsid w:val="15AD4348"/>
    <w:rsid w:val="15AD7612"/>
    <w:rsid w:val="15B96153"/>
    <w:rsid w:val="15BC619F"/>
    <w:rsid w:val="15BD0132"/>
    <w:rsid w:val="15BF618A"/>
    <w:rsid w:val="15C256BE"/>
    <w:rsid w:val="15C40EFF"/>
    <w:rsid w:val="15CA097E"/>
    <w:rsid w:val="15D33940"/>
    <w:rsid w:val="15D92955"/>
    <w:rsid w:val="15F5535B"/>
    <w:rsid w:val="15F569FA"/>
    <w:rsid w:val="15F656C7"/>
    <w:rsid w:val="15F85F00"/>
    <w:rsid w:val="15F969EC"/>
    <w:rsid w:val="16005D04"/>
    <w:rsid w:val="160628EA"/>
    <w:rsid w:val="1607152F"/>
    <w:rsid w:val="160D7883"/>
    <w:rsid w:val="160E7A4D"/>
    <w:rsid w:val="16104DB0"/>
    <w:rsid w:val="16120AEC"/>
    <w:rsid w:val="1613433D"/>
    <w:rsid w:val="16200AF2"/>
    <w:rsid w:val="162A2BA0"/>
    <w:rsid w:val="162E270B"/>
    <w:rsid w:val="162E2ADD"/>
    <w:rsid w:val="16313AA6"/>
    <w:rsid w:val="163267A4"/>
    <w:rsid w:val="163C0B35"/>
    <w:rsid w:val="16405266"/>
    <w:rsid w:val="164561DB"/>
    <w:rsid w:val="1651617C"/>
    <w:rsid w:val="165A2EC2"/>
    <w:rsid w:val="16672683"/>
    <w:rsid w:val="166852CC"/>
    <w:rsid w:val="16696EE3"/>
    <w:rsid w:val="16713663"/>
    <w:rsid w:val="167518D2"/>
    <w:rsid w:val="167B69FF"/>
    <w:rsid w:val="168864E9"/>
    <w:rsid w:val="16900241"/>
    <w:rsid w:val="16907088"/>
    <w:rsid w:val="1697702E"/>
    <w:rsid w:val="169A4327"/>
    <w:rsid w:val="169D4FCC"/>
    <w:rsid w:val="16A26D59"/>
    <w:rsid w:val="16A31912"/>
    <w:rsid w:val="16A52825"/>
    <w:rsid w:val="16A56817"/>
    <w:rsid w:val="16A60389"/>
    <w:rsid w:val="16AC66DD"/>
    <w:rsid w:val="16AD326E"/>
    <w:rsid w:val="16B06BAD"/>
    <w:rsid w:val="16B17712"/>
    <w:rsid w:val="16B95CF7"/>
    <w:rsid w:val="16BC6189"/>
    <w:rsid w:val="16C42B77"/>
    <w:rsid w:val="16D55B33"/>
    <w:rsid w:val="16D74218"/>
    <w:rsid w:val="16DD2E8B"/>
    <w:rsid w:val="16E376E7"/>
    <w:rsid w:val="16E40C30"/>
    <w:rsid w:val="16E72981"/>
    <w:rsid w:val="16EA1CE7"/>
    <w:rsid w:val="16EB66D9"/>
    <w:rsid w:val="16EE35CD"/>
    <w:rsid w:val="16F47BF5"/>
    <w:rsid w:val="16F500A9"/>
    <w:rsid w:val="16F872C3"/>
    <w:rsid w:val="16FA06E3"/>
    <w:rsid w:val="1701047D"/>
    <w:rsid w:val="170167F2"/>
    <w:rsid w:val="17035AAC"/>
    <w:rsid w:val="17054499"/>
    <w:rsid w:val="170B0BD9"/>
    <w:rsid w:val="170D5EDA"/>
    <w:rsid w:val="17182913"/>
    <w:rsid w:val="17197EC3"/>
    <w:rsid w:val="171E08F7"/>
    <w:rsid w:val="171E2D1A"/>
    <w:rsid w:val="172E1BBE"/>
    <w:rsid w:val="17377B8C"/>
    <w:rsid w:val="173A6824"/>
    <w:rsid w:val="173B1FA1"/>
    <w:rsid w:val="173C594E"/>
    <w:rsid w:val="173D1596"/>
    <w:rsid w:val="173D2EC3"/>
    <w:rsid w:val="1748452F"/>
    <w:rsid w:val="17503F57"/>
    <w:rsid w:val="17505DD6"/>
    <w:rsid w:val="17586CB0"/>
    <w:rsid w:val="17596CA9"/>
    <w:rsid w:val="17600681"/>
    <w:rsid w:val="176142CC"/>
    <w:rsid w:val="176522E6"/>
    <w:rsid w:val="17665D9F"/>
    <w:rsid w:val="17694484"/>
    <w:rsid w:val="176958FE"/>
    <w:rsid w:val="17696EA4"/>
    <w:rsid w:val="17795030"/>
    <w:rsid w:val="177B0627"/>
    <w:rsid w:val="177D3C16"/>
    <w:rsid w:val="178501CB"/>
    <w:rsid w:val="178A042D"/>
    <w:rsid w:val="178A1F82"/>
    <w:rsid w:val="17916104"/>
    <w:rsid w:val="17920EA7"/>
    <w:rsid w:val="1797450B"/>
    <w:rsid w:val="17985148"/>
    <w:rsid w:val="17A644BF"/>
    <w:rsid w:val="17A90C9E"/>
    <w:rsid w:val="17A92F07"/>
    <w:rsid w:val="17A93B09"/>
    <w:rsid w:val="17B23E0F"/>
    <w:rsid w:val="17B31B32"/>
    <w:rsid w:val="17B80549"/>
    <w:rsid w:val="17C063A0"/>
    <w:rsid w:val="17C16366"/>
    <w:rsid w:val="17C76A67"/>
    <w:rsid w:val="17CA22FD"/>
    <w:rsid w:val="17CF3A14"/>
    <w:rsid w:val="17DA0F7A"/>
    <w:rsid w:val="17DC2D7F"/>
    <w:rsid w:val="17E95276"/>
    <w:rsid w:val="17E963D1"/>
    <w:rsid w:val="17EA38A1"/>
    <w:rsid w:val="17EB77A3"/>
    <w:rsid w:val="17EC5E41"/>
    <w:rsid w:val="17F8667B"/>
    <w:rsid w:val="17FC7C84"/>
    <w:rsid w:val="18060D81"/>
    <w:rsid w:val="1806537C"/>
    <w:rsid w:val="18066C18"/>
    <w:rsid w:val="1809630E"/>
    <w:rsid w:val="181A7494"/>
    <w:rsid w:val="181C2683"/>
    <w:rsid w:val="181E4167"/>
    <w:rsid w:val="18324998"/>
    <w:rsid w:val="18341D76"/>
    <w:rsid w:val="18351C27"/>
    <w:rsid w:val="18553A22"/>
    <w:rsid w:val="18590E01"/>
    <w:rsid w:val="18607956"/>
    <w:rsid w:val="1866144B"/>
    <w:rsid w:val="186E420E"/>
    <w:rsid w:val="187941B7"/>
    <w:rsid w:val="187A14AA"/>
    <w:rsid w:val="187B7B4F"/>
    <w:rsid w:val="1887188F"/>
    <w:rsid w:val="188900DF"/>
    <w:rsid w:val="18935E66"/>
    <w:rsid w:val="18A35548"/>
    <w:rsid w:val="18A63203"/>
    <w:rsid w:val="18A77689"/>
    <w:rsid w:val="18A816B2"/>
    <w:rsid w:val="18AC4CDE"/>
    <w:rsid w:val="18B25B64"/>
    <w:rsid w:val="18B8431F"/>
    <w:rsid w:val="18B90C48"/>
    <w:rsid w:val="18BC4ADF"/>
    <w:rsid w:val="18BD1521"/>
    <w:rsid w:val="18BD2E66"/>
    <w:rsid w:val="18BE7EAB"/>
    <w:rsid w:val="18CF2450"/>
    <w:rsid w:val="18D7372F"/>
    <w:rsid w:val="18DA12E6"/>
    <w:rsid w:val="18DD12E4"/>
    <w:rsid w:val="18E261B8"/>
    <w:rsid w:val="18E62F4B"/>
    <w:rsid w:val="18E85386"/>
    <w:rsid w:val="18FC503B"/>
    <w:rsid w:val="1901626E"/>
    <w:rsid w:val="19027C40"/>
    <w:rsid w:val="19087B90"/>
    <w:rsid w:val="190948C3"/>
    <w:rsid w:val="190E3326"/>
    <w:rsid w:val="190E3538"/>
    <w:rsid w:val="19164D1E"/>
    <w:rsid w:val="191C588D"/>
    <w:rsid w:val="192152C2"/>
    <w:rsid w:val="192502DE"/>
    <w:rsid w:val="1927395B"/>
    <w:rsid w:val="192D514C"/>
    <w:rsid w:val="193544CD"/>
    <w:rsid w:val="19443AA2"/>
    <w:rsid w:val="1945355B"/>
    <w:rsid w:val="194817FC"/>
    <w:rsid w:val="194A0D45"/>
    <w:rsid w:val="194A2ADB"/>
    <w:rsid w:val="195159CB"/>
    <w:rsid w:val="195961D5"/>
    <w:rsid w:val="195C14E8"/>
    <w:rsid w:val="195D3491"/>
    <w:rsid w:val="196515C3"/>
    <w:rsid w:val="197859DA"/>
    <w:rsid w:val="1980769C"/>
    <w:rsid w:val="19884F66"/>
    <w:rsid w:val="198F181A"/>
    <w:rsid w:val="198F1E18"/>
    <w:rsid w:val="19917CFC"/>
    <w:rsid w:val="199624F4"/>
    <w:rsid w:val="1997576B"/>
    <w:rsid w:val="1998697F"/>
    <w:rsid w:val="199A20B4"/>
    <w:rsid w:val="19A71B82"/>
    <w:rsid w:val="19B84C88"/>
    <w:rsid w:val="19C6694E"/>
    <w:rsid w:val="19CC0DE5"/>
    <w:rsid w:val="19D11E61"/>
    <w:rsid w:val="19D5618C"/>
    <w:rsid w:val="19E22401"/>
    <w:rsid w:val="19E23808"/>
    <w:rsid w:val="19F44B16"/>
    <w:rsid w:val="19F538D5"/>
    <w:rsid w:val="19FF0B74"/>
    <w:rsid w:val="1A00532F"/>
    <w:rsid w:val="1A040FBD"/>
    <w:rsid w:val="1A067DCA"/>
    <w:rsid w:val="1A0A198C"/>
    <w:rsid w:val="1A102A1C"/>
    <w:rsid w:val="1A13214F"/>
    <w:rsid w:val="1A3D169F"/>
    <w:rsid w:val="1A434C13"/>
    <w:rsid w:val="1A4E18BB"/>
    <w:rsid w:val="1A5C550E"/>
    <w:rsid w:val="1A5E5759"/>
    <w:rsid w:val="1A61514E"/>
    <w:rsid w:val="1A624E9D"/>
    <w:rsid w:val="1A6F769D"/>
    <w:rsid w:val="1A712AE5"/>
    <w:rsid w:val="1A74386E"/>
    <w:rsid w:val="1A783427"/>
    <w:rsid w:val="1A7B0419"/>
    <w:rsid w:val="1A8A143B"/>
    <w:rsid w:val="1A954C9C"/>
    <w:rsid w:val="1AA67BD3"/>
    <w:rsid w:val="1AB617F5"/>
    <w:rsid w:val="1AC70097"/>
    <w:rsid w:val="1ACC39D6"/>
    <w:rsid w:val="1ADD5293"/>
    <w:rsid w:val="1ADE0868"/>
    <w:rsid w:val="1AF7489C"/>
    <w:rsid w:val="1AF86B17"/>
    <w:rsid w:val="1AFA3523"/>
    <w:rsid w:val="1AFD3AEA"/>
    <w:rsid w:val="1B05238D"/>
    <w:rsid w:val="1B0C44A5"/>
    <w:rsid w:val="1B13587B"/>
    <w:rsid w:val="1B1D44BA"/>
    <w:rsid w:val="1B275D4E"/>
    <w:rsid w:val="1B2C07D2"/>
    <w:rsid w:val="1B2C5EE0"/>
    <w:rsid w:val="1B33077D"/>
    <w:rsid w:val="1B3604D3"/>
    <w:rsid w:val="1B364D11"/>
    <w:rsid w:val="1B3865C6"/>
    <w:rsid w:val="1B3E5EDE"/>
    <w:rsid w:val="1B420F74"/>
    <w:rsid w:val="1B433153"/>
    <w:rsid w:val="1B467529"/>
    <w:rsid w:val="1B4B00CA"/>
    <w:rsid w:val="1B566C78"/>
    <w:rsid w:val="1B5F1247"/>
    <w:rsid w:val="1B6307EA"/>
    <w:rsid w:val="1B717940"/>
    <w:rsid w:val="1B79696C"/>
    <w:rsid w:val="1B7E1824"/>
    <w:rsid w:val="1B825166"/>
    <w:rsid w:val="1B890C23"/>
    <w:rsid w:val="1B9411FC"/>
    <w:rsid w:val="1B972987"/>
    <w:rsid w:val="1B9D6CE8"/>
    <w:rsid w:val="1BA63F57"/>
    <w:rsid w:val="1BA866D1"/>
    <w:rsid w:val="1BBB422B"/>
    <w:rsid w:val="1BC600B5"/>
    <w:rsid w:val="1BCC6C51"/>
    <w:rsid w:val="1BCD55F8"/>
    <w:rsid w:val="1BD1784D"/>
    <w:rsid w:val="1BE011AE"/>
    <w:rsid w:val="1BE02AAF"/>
    <w:rsid w:val="1BE30F90"/>
    <w:rsid w:val="1BE31093"/>
    <w:rsid w:val="1BE461F3"/>
    <w:rsid w:val="1BE956C8"/>
    <w:rsid w:val="1C022294"/>
    <w:rsid w:val="1C0B35D4"/>
    <w:rsid w:val="1C12573D"/>
    <w:rsid w:val="1C1D1EE2"/>
    <w:rsid w:val="1C1E2D21"/>
    <w:rsid w:val="1C234861"/>
    <w:rsid w:val="1C2E319B"/>
    <w:rsid w:val="1C3477C5"/>
    <w:rsid w:val="1C350829"/>
    <w:rsid w:val="1C4F6563"/>
    <w:rsid w:val="1C545F3D"/>
    <w:rsid w:val="1C556488"/>
    <w:rsid w:val="1C56072A"/>
    <w:rsid w:val="1C563FE3"/>
    <w:rsid w:val="1C5A182A"/>
    <w:rsid w:val="1C612884"/>
    <w:rsid w:val="1C62402E"/>
    <w:rsid w:val="1C62587C"/>
    <w:rsid w:val="1C6818E0"/>
    <w:rsid w:val="1C6F3BF6"/>
    <w:rsid w:val="1C722E7E"/>
    <w:rsid w:val="1C784A9F"/>
    <w:rsid w:val="1C7D008B"/>
    <w:rsid w:val="1C7D2EB6"/>
    <w:rsid w:val="1C805B43"/>
    <w:rsid w:val="1C852BB0"/>
    <w:rsid w:val="1C8D54A8"/>
    <w:rsid w:val="1C8D59DD"/>
    <w:rsid w:val="1C8E63A1"/>
    <w:rsid w:val="1C9651FD"/>
    <w:rsid w:val="1C9C41C6"/>
    <w:rsid w:val="1CA41B36"/>
    <w:rsid w:val="1CA42FB6"/>
    <w:rsid w:val="1CAF4AE5"/>
    <w:rsid w:val="1CB21A29"/>
    <w:rsid w:val="1CBA12BF"/>
    <w:rsid w:val="1CCB32EE"/>
    <w:rsid w:val="1CCD4A46"/>
    <w:rsid w:val="1CD23361"/>
    <w:rsid w:val="1CD35882"/>
    <w:rsid w:val="1CE302F7"/>
    <w:rsid w:val="1CEC4F96"/>
    <w:rsid w:val="1CF139EE"/>
    <w:rsid w:val="1CF13B49"/>
    <w:rsid w:val="1CF52075"/>
    <w:rsid w:val="1CF70EE3"/>
    <w:rsid w:val="1CFE7E6D"/>
    <w:rsid w:val="1D011F4C"/>
    <w:rsid w:val="1D0D1F95"/>
    <w:rsid w:val="1D1C7AC2"/>
    <w:rsid w:val="1D1D6A85"/>
    <w:rsid w:val="1D207BFC"/>
    <w:rsid w:val="1D230741"/>
    <w:rsid w:val="1D2F0DCA"/>
    <w:rsid w:val="1D397D96"/>
    <w:rsid w:val="1D3A5DFA"/>
    <w:rsid w:val="1D3E30CF"/>
    <w:rsid w:val="1D3E57BA"/>
    <w:rsid w:val="1D3F5BF4"/>
    <w:rsid w:val="1D49558F"/>
    <w:rsid w:val="1D4A5741"/>
    <w:rsid w:val="1D4B1AFF"/>
    <w:rsid w:val="1D4B4B5A"/>
    <w:rsid w:val="1D5350C2"/>
    <w:rsid w:val="1D584348"/>
    <w:rsid w:val="1D597DDF"/>
    <w:rsid w:val="1D5D209F"/>
    <w:rsid w:val="1D65312D"/>
    <w:rsid w:val="1D6D4785"/>
    <w:rsid w:val="1D6E27CD"/>
    <w:rsid w:val="1D727268"/>
    <w:rsid w:val="1D747A6E"/>
    <w:rsid w:val="1D767ADA"/>
    <w:rsid w:val="1D7A0D45"/>
    <w:rsid w:val="1D845021"/>
    <w:rsid w:val="1D861B2D"/>
    <w:rsid w:val="1D896FB3"/>
    <w:rsid w:val="1D91741D"/>
    <w:rsid w:val="1D9318C5"/>
    <w:rsid w:val="1D941B55"/>
    <w:rsid w:val="1DA8115B"/>
    <w:rsid w:val="1DAB7998"/>
    <w:rsid w:val="1DB01072"/>
    <w:rsid w:val="1DB2076E"/>
    <w:rsid w:val="1DB43F2E"/>
    <w:rsid w:val="1DBE6DCD"/>
    <w:rsid w:val="1DC2628A"/>
    <w:rsid w:val="1DCF57CE"/>
    <w:rsid w:val="1DCF7FF5"/>
    <w:rsid w:val="1DD11EB5"/>
    <w:rsid w:val="1DD246EC"/>
    <w:rsid w:val="1DD63079"/>
    <w:rsid w:val="1DD859F5"/>
    <w:rsid w:val="1DDA6EEA"/>
    <w:rsid w:val="1DDB37BE"/>
    <w:rsid w:val="1DDD63A7"/>
    <w:rsid w:val="1DE56ABE"/>
    <w:rsid w:val="1DFC4DF9"/>
    <w:rsid w:val="1E0435A0"/>
    <w:rsid w:val="1E110D2A"/>
    <w:rsid w:val="1E1247A2"/>
    <w:rsid w:val="1E155062"/>
    <w:rsid w:val="1E193E9C"/>
    <w:rsid w:val="1E1B38E9"/>
    <w:rsid w:val="1E1B7186"/>
    <w:rsid w:val="1E303EF3"/>
    <w:rsid w:val="1E3065F6"/>
    <w:rsid w:val="1E3303CE"/>
    <w:rsid w:val="1E3835D5"/>
    <w:rsid w:val="1E3F6D05"/>
    <w:rsid w:val="1E494B8A"/>
    <w:rsid w:val="1E4F0222"/>
    <w:rsid w:val="1E5C2AF3"/>
    <w:rsid w:val="1E795C41"/>
    <w:rsid w:val="1E7E640D"/>
    <w:rsid w:val="1E7F3A72"/>
    <w:rsid w:val="1E8064D3"/>
    <w:rsid w:val="1E861E21"/>
    <w:rsid w:val="1EA72270"/>
    <w:rsid w:val="1EBD6E42"/>
    <w:rsid w:val="1EBF2B2C"/>
    <w:rsid w:val="1EC25D1C"/>
    <w:rsid w:val="1EC74AB4"/>
    <w:rsid w:val="1EC87ABC"/>
    <w:rsid w:val="1ED242FC"/>
    <w:rsid w:val="1ED56C03"/>
    <w:rsid w:val="1EDA0174"/>
    <w:rsid w:val="1EDA3DBE"/>
    <w:rsid w:val="1EDB3888"/>
    <w:rsid w:val="1EE05F54"/>
    <w:rsid w:val="1EE332A7"/>
    <w:rsid w:val="1EE45C8A"/>
    <w:rsid w:val="1EE94B13"/>
    <w:rsid w:val="1EF579A0"/>
    <w:rsid w:val="1F05532C"/>
    <w:rsid w:val="1F095121"/>
    <w:rsid w:val="1F0C3604"/>
    <w:rsid w:val="1F0D0383"/>
    <w:rsid w:val="1F0F4C7A"/>
    <w:rsid w:val="1F1527EE"/>
    <w:rsid w:val="1F20034A"/>
    <w:rsid w:val="1F251ABC"/>
    <w:rsid w:val="1F290391"/>
    <w:rsid w:val="1F2A2D10"/>
    <w:rsid w:val="1F304386"/>
    <w:rsid w:val="1F330402"/>
    <w:rsid w:val="1F370102"/>
    <w:rsid w:val="1F3F0073"/>
    <w:rsid w:val="1F43546C"/>
    <w:rsid w:val="1F48506F"/>
    <w:rsid w:val="1F4B10C3"/>
    <w:rsid w:val="1F5C7F87"/>
    <w:rsid w:val="1F6C1D79"/>
    <w:rsid w:val="1F792E9A"/>
    <w:rsid w:val="1F7B67F6"/>
    <w:rsid w:val="1F7C518B"/>
    <w:rsid w:val="1F881F59"/>
    <w:rsid w:val="1F8941F6"/>
    <w:rsid w:val="1F971B7F"/>
    <w:rsid w:val="1F977565"/>
    <w:rsid w:val="1F9B644E"/>
    <w:rsid w:val="1FA22246"/>
    <w:rsid w:val="1FA30C43"/>
    <w:rsid w:val="1FA429B4"/>
    <w:rsid w:val="1FAC06FF"/>
    <w:rsid w:val="1FB34801"/>
    <w:rsid w:val="1FB75185"/>
    <w:rsid w:val="1FB758D9"/>
    <w:rsid w:val="1FB9068D"/>
    <w:rsid w:val="1FB97163"/>
    <w:rsid w:val="1FBD0EE6"/>
    <w:rsid w:val="1FC10346"/>
    <w:rsid w:val="1FC16504"/>
    <w:rsid w:val="1FDB745E"/>
    <w:rsid w:val="1FDD028C"/>
    <w:rsid w:val="1FE218C2"/>
    <w:rsid w:val="1FF955B0"/>
    <w:rsid w:val="1FFA3EAB"/>
    <w:rsid w:val="1FFB3FF4"/>
    <w:rsid w:val="1FFC1294"/>
    <w:rsid w:val="1FFC4541"/>
    <w:rsid w:val="200B6448"/>
    <w:rsid w:val="20176E76"/>
    <w:rsid w:val="201C2D60"/>
    <w:rsid w:val="20270162"/>
    <w:rsid w:val="20347311"/>
    <w:rsid w:val="203F0CD6"/>
    <w:rsid w:val="20421E9D"/>
    <w:rsid w:val="204439A4"/>
    <w:rsid w:val="20655E4F"/>
    <w:rsid w:val="20721F6B"/>
    <w:rsid w:val="207308C3"/>
    <w:rsid w:val="207411D3"/>
    <w:rsid w:val="20743131"/>
    <w:rsid w:val="207536DF"/>
    <w:rsid w:val="20783BF9"/>
    <w:rsid w:val="20786435"/>
    <w:rsid w:val="20802CF5"/>
    <w:rsid w:val="20811113"/>
    <w:rsid w:val="208315A1"/>
    <w:rsid w:val="20874766"/>
    <w:rsid w:val="2088281D"/>
    <w:rsid w:val="2088475A"/>
    <w:rsid w:val="20917F9C"/>
    <w:rsid w:val="20930BD1"/>
    <w:rsid w:val="2094661E"/>
    <w:rsid w:val="20951ED4"/>
    <w:rsid w:val="20962536"/>
    <w:rsid w:val="20AF5726"/>
    <w:rsid w:val="20AF5A47"/>
    <w:rsid w:val="20B50E80"/>
    <w:rsid w:val="20B71F63"/>
    <w:rsid w:val="20B7483F"/>
    <w:rsid w:val="20BD02A3"/>
    <w:rsid w:val="20BE1841"/>
    <w:rsid w:val="20D078F3"/>
    <w:rsid w:val="20D200AD"/>
    <w:rsid w:val="20D95B71"/>
    <w:rsid w:val="20DA60A5"/>
    <w:rsid w:val="20DB223A"/>
    <w:rsid w:val="20E51C80"/>
    <w:rsid w:val="20E61367"/>
    <w:rsid w:val="20EC58CB"/>
    <w:rsid w:val="20F17304"/>
    <w:rsid w:val="21007C49"/>
    <w:rsid w:val="21014223"/>
    <w:rsid w:val="21200021"/>
    <w:rsid w:val="21257F04"/>
    <w:rsid w:val="21291A31"/>
    <w:rsid w:val="213445FE"/>
    <w:rsid w:val="21353F50"/>
    <w:rsid w:val="2138052E"/>
    <w:rsid w:val="213C3CC5"/>
    <w:rsid w:val="21404767"/>
    <w:rsid w:val="214776EA"/>
    <w:rsid w:val="21522E38"/>
    <w:rsid w:val="2159046C"/>
    <w:rsid w:val="21592762"/>
    <w:rsid w:val="215E62F3"/>
    <w:rsid w:val="215F3A68"/>
    <w:rsid w:val="21611A31"/>
    <w:rsid w:val="21635586"/>
    <w:rsid w:val="21760888"/>
    <w:rsid w:val="217B17E2"/>
    <w:rsid w:val="218810BD"/>
    <w:rsid w:val="218D61A9"/>
    <w:rsid w:val="218F2B85"/>
    <w:rsid w:val="218F6B13"/>
    <w:rsid w:val="218F7263"/>
    <w:rsid w:val="2190117D"/>
    <w:rsid w:val="219015DB"/>
    <w:rsid w:val="219140F2"/>
    <w:rsid w:val="21994057"/>
    <w:rsid w:val="219A79A2"/>
    <w:rsid w:val="219F1479"/>
    <w:rsid w:val="21A34664"/>
    <w:rsid w:val="21B80E8C"/>
    <w:rsid w:val="21B91F5E"/>
    <w:rsid w:val="21C24072"/>
    <w:rsid w:val="21C73828"/>
    <w:rsid w:val="21D55950"/>
    <w:rsid w:val="21D965A1"/>
    <w:rsid w:val="21E11782"/>
    <w:rsid w:val="21E14B35"/>
    <w:rsid w:val="21E617C0"/>
    <w:rsid w:val="21EC3E44"/>
    <w:rsid w:val="21F002DA"/>
    <w:rsid w:val="21F2539C"/>
    <w:rsid w:val="21F533B9"/>
    <w:rsid w:val="21F65A58"/>
    <w:rsid w:val="21FB61D0"/>
    <w:rsid w:val="22034BF9"/>
    <w:rsid w:val="220B3AD6"/>
    <w:rsid w:val="22191ECB"/>
    <w:rsid w:val="221E272E"/>
    <w:rsid w:val="2221560D"/>
    <w:rsid w:val="222A1FFE"/>
    <w:rsid w:val="222B075F"/>
    <w:rsid w:val="22367DC0"/>
    <w:rsid w:val="223C2D91"/>
    <w:rsid w:val="22426753"/>
    <w:rsid w:val="224D7BB0"/>
    <w:rsid w:val="22541D32"/>
    <w:rsid w:val="225474CD"/>
    <w:rsid w:val="225E1754"/>
    <w:rsid w:val="225F0409"/>
    <w:rsid w:val="225F51CF"/>
    <w:rsid w:val="226A54A8"/>
    <w:rsid w:val="226D42BA"/>
    <w:rsid w:val="226D7A71"/>
    <w:rsid w:val="227078B0"/>
    <w:rsid w:val="2271187B"/>
    <w:rsid w:val="22833161"/>
    <w:rsid w:val="228338C8"/>
    <w:rsid w:val="22840DDA"/>
    <w:rsid w:val="22876A0D"/>
    <w:rsid w:val="229C7857"/>
    <w:rsid w:val="22A11695"/>
    <w:rsid w:val="22A63B38"/>
    <w:rsid w:val="22A73490"/>
    <w:rsid w:val="22A8489A"/>
    <w:rsid w:val="22AA7376"/>
    <w:rsid w:val="22AB3B60"/>
    <w:rsid w:val="22AF11A1"/>
    <w:rsid w:val="22B2134F"/>
    <w:rsid w:val="22B22D1F"/>
    <w:rsid w:val="22B33D99"/>
    <w:rsid w:val="22B83EF7"/>
    <w:rsid w:val="22BB4A47"/>
    <w:rsid w:val="22BC2773"/>
    <w:rsid w:val="22BE29D6"/>
    <w:rsid w:val="22C27BE8"/>
    <w:rsid w:val="22C4003E"/>
    <w:rsid w:val="22CB2F4B"/>
    <w:rsid w:val="22D02654"/>
    <w:rsid w:val="22D10E4B"/>
    <w:rsid w:val="22D41929"/>
    <w:rsid w:val="22D7363B"/>
    <w:rsid w:val="22D90210"/>
    <w:rsid w:val="22D912F9"/>
    <w:rsid w:val="22E1284D"/>
    <w:rsid w:val="22E73006"/>
    <w:rsid w:val="22EB3773"/>
    <w:rsid w:val="22EE13BE"/>
    <w:rsid w:val="22F31E85"/>
    <w:rsid w:val="22F71A54"/>
    <w:rsid w:val="22F74CC6"/>
    <w:rsid w:val="22FB2321"/>
    <w:rsid w:val="22FF6AA7"/>
    <w:rsid w:val="2306325F"/>
    <w:rsid w:val="230749DA"/>
    <w:rsid w:val="230753E2"/>
    <w:rsid w:val="230E2CD5"/>
    <w:rsid w:val="230F5270"/>
    <w:rsid w:val="2311101C"/>
    <w:rsid w:val="231869B1"/>
    <w:rsid w:val="2319089C"/>
    <w:rsid w:val="231B2491"/>
    <w:rsid w:val="232515D0"/>
    <w:rsid w:val="232F45E5"/>
    <w:rsid w:val="23382F5D"/>
    <w:rsid w:val="233857DC"/>
    <w:rsid w:val="233E2231"/>
    <w:rsid w:val="23443C8F"/>
    <w:rsid w:val="235578EA"/>
    <w:rsid w:val="23561548"/>
    <w:rsid w:val="23561CD1"/>
    <w:rsid w:val="235E47B6"/>
    <w:rsid w:val="23644FB5"/>
    <w:rsid w:val="23646298"/>
    <w:rsid w:val="236B32CC"/>
    <w:rsid w:val="2372506B"/>
    <w:rsid w:val="2376691B"/>
    <w:rsid w:val="2378146C"/>
    <w:rsid w:val="238D2D50"/>
    <w:rsid w:val="238D66BE"/>
    <w:rsid w:val="2390261F"/>
    <w:rsid w:val="23950A55"/>
    <w:rsid w:val="239540DC"/>
    <w:rsid w:val="23965F67"/>
    <w:rsid w:val="23A00272"/>
    <w:rsid w:val="23A02531"/>
    <w:rsid w:val="23A11F4F"/>
    <w:rsid w:val="23A963A4"/>
    <w:rsid w:val="23B41225"/>
    <w:rsid w:val="23BA6237"/>
    <w:rsid w:val="23BC048E"/>
    <w:rsid w:val="23C9616F"/>
    <w:rsid w:val="23CC0919"/>
    <w:rsid w:val="23CE659F"/>
    <w:rsid w:val="23CF7FD3"/>
    <w:rsid w:val="23D4199E"/>
    <w:rsid w:val="23D94F43"/>
    <w:rsid w:val="23DC01C4"/>
    <w:rsid w:val="23DC60E2"/>
    <w:rsid w:val="23E17EC8"/>
    <w:rsid w:val="23E47406"/>
    <w:rsid w:val="23E91B93"/>
    <w:rsid w:val="23F6160A"/>
    <w:rsid w:val="23FA4415"/>
    <w:rsid w:val="23FB72B1"/>
    <w:rsid w:val="24026C92"/>
    <w:rsid w:val="24027DBA"/>
    <w:rsid w:val="240657B6"/>
    <w:rsid w:val="240B36D8"/>
    <w:rsid w:val="240C2CCA"/>
    <w:rsid w:val="240C553C"/>
    <w:rsid w:val="241722EB"/>
    <w:rsid w:val="24193E65"/>
    <w:rsid w:val="241B2B4F"/>
    <w:rsid w:val="242B021E"/>
    <w:rsid w:val="24323334"/>
    <w:rsid w:val="243336DA"/>
    <w:rsid w:val="24373DE9"/>
    <w:rsid w:val="243D6215"/>
    <w:rsid w:val="244F01D0"/>
    <w:rsid w:val="245226BE"/>
    <w:rsid w:val="245550BB"/>
    <w:rsid w:val="245A0102"/>
    <w:rsid w:val="2461318F"/>
    <w:rsid w:val="24662623"/>
    <w:rsid w:val="24673502"/>
    <w:rsid w:val="24676BCD"/>
    <w:rsid w:val="24676F22"/>
    <w:rsid w:val="2468531E"/>
    <w:rsid w:val="246D7EC6"/>
    <w:rsid w:val="24741D21"/>
    <w:rsid w:val="24750E49"/>
    <w:rsid w:val="2479502B"/>
    <w:rsid w:val="2479597F"/>
    <w:rsid w:val="247D3C6E"/>
    <w:rsid w:val="24860612"/>
    <w:rsid w:val="24872D53"/>
    <w:rsid w:val="248E7D90"/>
    <w:rsid w:val="249321BF"/>
    <w:rsid w:val="249C0D83"/>
    <w:rsid w:val="24A033EE"/>
    <w:rsid w:val="24B51B12"/>
    <w:rsid w:val="24C434A5"/>
    <w:rsid w:val="24C92612"/>
    <w:rsid w:val="24CA496C"/>
    <w:rsid w:val="24CB78C2"/>
    <w:rsid w:val="24CC60AA"/>
    <w:rsid w:val="24D35568"/>
    <w:rsid w:val="24D72C44"/>
    <w:rsid w:val="24DB51FA"/>
    <w:rsid w:val="24E954E0"/>
    <w:rsid w:val="24F37FEF"/>
    <w:rsid w:val="24F82FB3"/>
    <w:rsid w:val="2501080F"/>
    <w:rsid w:val="2504405A"/>
    <w:rsid w:val="251809ED"/>
    <w:rsid w:val="251B27EB"/>
    <w:rsid w:val="25241C4A"/>
    <w:rsid w:val="25265A8E"/>
    <w:rsid w:val="252A5159"/>
    <w:rsid w:val="25364407"/>
    <w:rsid w:val="25380B4A"/>
    <w:rsid w:val="253C2F3D"/>
    <w:rsid w:val="253C65AF"/>
    <w:rsid w:val="25410D56"/>
    <w:rsid w:val="254D55BA"/>
    <w:rsid w:val="254F6D5C"/>
    <w:rsid w:val="25644E19"/>
    <w:rsid w:val="256F1EB3"/>
    <w:rsid w:val="25720D21"/>
    <w:rsid w:val="257B7A7B"/>
    <w:rsid w:val="257C63F7"/>
    <w:rsid w:val="257E458B"/>
    <w:rsid w:val="258426BC"/>
    <w:rsid w:val="25867F54"/>
    <w:rsid w:val="25873766"/>
    <w:rsid w:val="258B4AE4"/>
    <w:rsid w:val="258C3B89"/>
    <w:rsid w:val="258C6B00"/>
    <w:rsid w:val="258F1E2E"/>
    <w:rsid w:val="259114ED"/>
    <w:rsid w:val="2593720A"/>
    <w:rsid w:val="25996F48"/>
    <w:rsid w:val="259A3CB2"/>
    <w:rsid w:val="259E4C39"/>
    <w:rsid w:val="259E5828"/>
    <w:rsid w:val="25A035EC"/>
    <w:rsid w:val="25A24497"/>
    <w:rsid w:val="25A45B04"/>
    <w:rsid w:val="25A92B92"/>
    <w:rsid w:val="25AB0A3D"/>
    <w:rsid w:val="25AC370D"/>
    <w:rsid w:val="25B22B68"/>
    <w:rsid w:val="25B5218E"/>
    <w:rsid w:val="25B824AD"/>
    <w:rsid w:val="25BF3BCD"/>
    <w:rsid w:val="25C15D16"/>
    <w:rsid w:val="25C55B83"/>
    <w:rsid w:val="25CD5BF1"/>
    <w:rsid w:val="25CD62C3"/>
    <w:rsid w:val="25D31208"/>
    <w:rsid w:val="25DA65CA"/>
    <w:rsid w:val="25DB6649"/>
    <w:rsid w:val="25DC1D12"/>
    <w:rsid w:val="25DD0809"/>
    <w:rsid w:val="25E27416"/>
    <w:rsid w:val="25E46656"/>
    <w:rsid w:val="25E47484"/>
    <w:rsid w:val="25E92FBE"/>
    <w:rsid w:val="25F17275"/>
    <w:rsid w:val="25F31E31"/>
    <w:rsid w:val="25F70EE4"/>
    <w:rsid w:val="25F83FB0"/>
    <w:rsid w:val="25FC0B75"/>
    <w:rsid w:val="26006C23"/>
    <w:rsid w:val="260139F3"/>
    <w:rsid w:val="260556D5"/>
    <w:rsid w:val="26080DD9"/>
    <w:rsid w:val="26082798"/>
    <w:rsid w:val="260830B3"/>
    <w:rsid w:val="26095114"/>
    <w:rsid w:val="260E454E"/>
    <w:rsid w:val="26132277"/>
    <w:rsid w:val="261464EE"/>
    <w:rsid w:val="26280E6C"/>
    <w:rsid w:val="262E05B0"/>
    <w:rsid w:val="26327A25"/>
    <w:rsid w:val="26331CBB"/>
    <w:rsid w:val="26372014"/>
    <w:rsid w:val="263C3D6D"/>
    <w:rsid w:val="263E0859"/>
    <w:rsid w:val="263E1A96"/>
    <w:rsid w:val="26405937"/>
    <w:rsid w:val="26433FB7"/>
    <w:rsid w:val="26452DA3"/>
    <w:rsid w:val="26474B98"/>
    <w:rsid w:val="264D3294"/>
    <w:rsid w:val="266A2AD6"/>
    <w:rsid w:val="266C2FED"/>
    <w:rsid w:val="26783498"/>
    <w:rsid w:val="267A33D1"/>
    <w:rsid w:val="268246BC"/>
    <w:rsid w:val="268B7473"/>
    <w:rsid w:val="26952295"/>
    <w:rsid w:val="269626DF"/>
    <w:rsid w:val="269B7137"/>
    <w:rsid w:val="26A265DC"/>
    <w:rsid w:val="26AE5F52"/>
    <w:rsid w:val="26AE6F7F"/>
    <w:rsid w:val="26B32654"/>
    <w:rsid w:val="26B40C48"/>
    <w:rsid w:val="26B8056C"/>
    <w:rsid w:val="26C87742"/>
    <w:rsid w:val="26D00BF3"/>
    <w:rsid w:val="26E272BC"/>
    <w:rsid w:val="26E33E5B"/>
    <w:rsid w:val="26E70CA8"/>
    <w:rsid w:val="26EA7605"/>
    <w:rsid w:val="26EB47D6"/>
    <w:rsid w:val="26F17CAD"/>
    <w:rsid w:val="26F51567"/>
    <w:rsid w:val="26F54808"/>
    <w:rsid w:val="26F81366"/>
    <w:rsid w:val="26FB5D95"/>
    <w:rsid w:val="26FC2F8C"/>
    <w:rsid w:val="27094F93"/>
    <w:rsid w:val="270E05C8"/>
    <w:rsid w:val="27101BFD"/>
    <w:rsid w:val="27172021"/>
    <w:rsid w:val="27190D99"/>
    <w:rsid w:val="271927EF"/>
    <w:rsid w:val="271A253D"/>
    <w:rsid w:val="271A4B23"/>
    <w:rsid w:val="271C2CE9"/>
    <w:rsid w:val="27235746"/>
    <w:rsid w:val="273E49F4"/>
    <w:rsid w:val="274321B1"/>
    <w:rsid w:val="27450C2D"/>
    <w:rsid w:val="274525DC"/>
    <w:rsid w:val="274652E6"/>
    <w:rsid w:val="27470851"/>
    <w:rsid w:val="27480748"/>
    <w:rsid w:val="274900F9"/>
    <w:rsid w:val="274E0335"/>
    <w:rsid w:val="275D1356"/>
    <w:rsid w:val="275D186B"/>
    <w:rsid w:val="275D4A89"/>
    <w:rsid w:val="27625310"/>
    <w:rsid w:val="27641213"/>
    <w:rsid w:val="277A2EC6"/>
    <w:rsid w:val="277E3D2C"/>
    <w:rsid w:val="27841ADD"/>
    <w:rsid w:val="278B7262"/>
    <w:rsid w:val="278E7D5F"/>
    <w:rsid w:val="279429E3"/>
    <w:rsid w:val="27966F4A"/>
    <w:rsid w:val="27A74D7A"/>
    <w:rsid w:val="27A75735"/>
    <w:rsid w:val="27A91AD2"/>
    <w:rsid w:val="27AE6E2D"/>
    <w:rsid w:val="27AF57B8"/>
    <w:rsid w:val="27B24596"/>
    <w:rsid w:val="27B25FFF"/>
    <w:rsid w:val="27B82A21"/>
    <w:rsid w:val="27BA12A7"/>
    <w:rsid w:val="27BA6BC4"/>
    <w:rsid w:val="27BC2EEA"/>
    <w:rsid w:val="27C93064"/>
    <w:rsid w:val="27C96B67"/>
    <w:rsid w:val="27CB38EC"/>
    <w:rsid w:val="27CB5FF9"/>
    <w:rsid w:val="27CC0A3D"/>
    <w:rsid w:val="27D34267"/>
    <w:rsid w:val="27D62E6F"/>
    <w:rsid w:val="27D745E8"/>
    <w:rsid w:val="27E4169F"/>
    <w:rsid w:val="27E476BC"/>
    <w:rsid w:val="27E7338B"/>
    <w:rsid w:val="27EA3B97"/>
    <w:rsid w:val="27EF0430"/>
    <w:rsid w:val="27F32107"/>
    <w:rsid w:val="27F851C0"/>
    <w:rsid w:val="27FA5F82"/>
    <w:rsid w:val="28014303"/>
    <w:rsid w:val="280410A7"/>
    <w:rsid w:val="2809034F"/>
    <w:rsid w:val="28152D65"/>
    <w:rsid w:val="281713C1"/>
    <w:rsid w:val="281C4FE1"/>
    <w:rsid w:val="28201807"/>
    <w:rsid w:val="28202089"/>
    <w:rsid w:val="28210C3B"/>
    <w:rsid w:val="282136DB"/>
    <w:rsid w:val="282408A9"/>
    <w:rsid w:val="2833186C"/>
    <w:rsid w:val="283E3927"/>
    <w:rsid w:val="28432F7C"/>
    <w:rsid w:val="285065F4"/>
    <w:rsid w:val="28557C44"/>
    <w:rsid w:val="28564AD0"/>
    <w:rsid w:val="285E1540"/>
    <w:rsid w:val="285E4E49"/>
    <w:rsid w:val="28634EA7"/>
    <w:rsid w:val="2868554F"/>
    <w:rsid w:val="286A70A6"/>
    <w:rsid w:val="286B31A7"/>
    <w:rsid w:val="286D715D"/>
    <w:rsid w:val="286F13E7"/>
    <w:rsid w:val="28707EB9"/>
    <w:rsid w:val="28710251"/>
    <w:rsid w:val="287270BD"/>
    <w:rsid w:val="287508F6"/>
    <w:rsid w:val="288C7056"/>
    <w:rsid w:val="288F598A"/>
    <w:rsid w:val="289910F7"/>
    <w:rsid w:val="28A14F66"/>
    <w:rsid w:val="28A4234C"/>
    <w:rsid w:val="28A63531"/>
    <w:rsid w:val="28A773FC"/>
    <w:rsid w:val="28CA5B35"/>
    <w:rsid w:val="28D02425"/>
    <w:rsid w:val="28D36FD2"/>
    <w:rsid w:val="28D527CA"/>
    <w:rsid w:val="28DB1A3D"/>
    <w:rsid w:val="28F133CC"/>
    <w:rsid w:val="28F729CE"/>
    <w:rsid w:val="28F934CA"/>
    <w:rsid w:val="28FA5F7F"/>
    <w:rsid w:val="29056F59"/>
    <w:rsid w:val="2907017C"/>
    <w:rsid w:val="29094B16"/>
    <w:rsid w:val="291218C3"/>
    <w:rsid w:val="2912731C"/>
    <w:rsid w:val="29150A19"/>
    <w:rsid w:val="29157321"/>
    <w:rsid w:val="291F35AA"/>
    <w:rsid w:val="2925391D"/>
    <w:rsid w:val="292B0670"/>
    <w:rsid w:val="292E0A29"/>
    <w:rsid w:val="29325A72"/>
    <w:rsid w:val="2938341E"/>
    <w:rsid w:val="293A10FF"/>
    <w:rsid w:val="293A6E92"/>
    <w:rsid w:val="29566904"/>
    <w:rsid w:val="29582224"/>
    <w:rsid w:val="29585835"/>
    <w:rsid w:val="296074D7"/>
    <w:rsid w:val="29692EBD"/>
    <w:rsid w:val="29712D8F"/>
    <w:rsid w:val="29736267"/>
    <w:rsid w:val="297B31D3"/>
    <w:rsid w:val="298103BD"/>
    <w:rsid w:val="298412A3"/>
    <w:rsid w:val="298D4850"/>
    <w:rsid w:val="29966295"/>
    <w:rsid w:val="29971F57"/>
    <w:rsid w:val="299C7DCA"/>
    <w:rsid w:val="29A021A8"/>
    <w:rsid w:val="29A942FB"/>
    <w:rsid w:val="29A94F7F"/>
    <w:rsid w:val="29B344DC"/>
    <w:rsid w:val="29B539E6"/>
    <w:rsid w:val="29BA1399"/>
    <w:rsid w:val="29BC2699"/>
    <w:rsid w:val="29C8428C"/>
    <w:rsid w:val="29D4298C"/>
    <w:rsid w:val="29DD7E33"/>
    <w:rsid w:val="29E31C9C"/>
    <w:rsid w:val="29E55C12"/>
    <w:rsid w:val="29E81D60"/>
    <w:rsid w:val="29F035C0"/>
    <w:rsid w:val="29F05E16"/>
    <w:rsid w:val="29F54832"/>
    <w:rsid w:val="2A111075"/>
    <w:rsid w:val="2A160D87"/>
    <w:rsid w:val="2A22248B"/>
    <w:rsid w:val="2A2351F4"/>
    <w:rsid w:val="2A307EBE"/>
    <w:rsid w:val="2A3E413F"/>
    <w:rsid w:val="2A430F4D"/>
    <w:rsid w:val="2A5303B9"/>
    <w:rsid w:val="2A534A67"/>
    <w:rsid w:val="2A5F67A3"/>
    <w:rsid w:val="2A6151C4"/>
    <w:rsid w:val="2A664C59"/>
    <w:rsid w:val="2A6B464E"/>
    <w:rsid w:val="2A722830"/>
    <w:rsid w:val="2A8F4AAD"/>
    <w:rsid w:val="2A944B48"/>
    <w:rsid w:val="2A9A0F2B"/>
    <w:rsid w:val="2AA07917"/>
    <w:rsid w:val="2AA1140C"/>
    <w:rsid w:val="2AA67F8B"/>
    <w:rsid w:val="2AAA31D9"/>
    <w:rsid w:val="2AAC289A"/>
    <w:rsid w:val="2AB138BA"/>
    <w:rsid w:val="2AC51079"/>
    <w:rsid w:val="2ACA0984"/>
    <w:rsid w:val="2AD05182"/>
    <w:rsid w:val="2AE47A17"/>
    <w:rsid w:val="2AEB2740"/>
    <w:rsid w:val="2AF44191"/>
    <w:rsid w:val="2AF74347"/>
    <w:rsid w:val="2B0A4D59"/>
    <w:rsid w:val="2B162169"/>
    <w:rsid w:val="2B165967"/>
    <w:rsid w:val="2B1A32A0"/>
    <w:rsid w:val="2B26693B"/>
    <w:rsid w:val="2B2F1FC7"/>
    <w:rsid w:val="2B2F2F22"/>
    <w:rsid w:val="2B342280"/>
    <w:rsid w:val="2B37764D"/>
    <w:rsid w:val="2B3F6547"/>
    <w:rsid w:val="2B430D5F"/>
    <w:rsid w:val="2B4F2967"/>
    <w:rsid w:val="2B5C1A7C"/>
    <w:rsid w:val="2B5C469F"/>
    <w:rsid w:val="2B6525E9"/>
    <w:rsid w:val="2B6E19DB"/>
    <w:rsid w:val="2B756050"/>
    <w:rsid w:val="2B7C5660"/>
    <w:rsid w:val="2B8944AA"/>
    <w:rsid w:val="2B92679C"/>
    <w:rsid w:val="2B96506D"/>
    <w:rsid w:val="2B986BC6"/>
    <w:rsid w:val="2B9C0A86"/>
    <w:rsid w:val="2B9D451B"/>
    <w:rsid w:val="2BA16669"/>
    <w:rsid w:val="2BAE20A5"/>
    <w:rsid w:val="2BAE6BB7"/>
    <w:rsid w:val="2BAF2381"/>
    <w:rsid w:val="2BB1376A"/>
    <w:rsid w:val="2BB60AD9"/>
    <w:rsid w:val="2BBA7E05"/>
    <w:rsid w:val="2BBB17D5"/>
    <w:rsid w:val="2BBD6DA0"/>
    <w:rsid w:val="2BC3413A"/>
    <w:rsid w:val="2BC45396"/>
    <w:rsid w:val="2BD540AD"/>
    <w:rsid w:val="2BDA10DE"/>
    <w:rsid w:val="2BDA2AEC"/>
    <w:rsid w:val="2BF336C9"/>
    <w:rsid w:val="2BF33ED5"/>
    <w:rsid w:val="2BFB7405"/>
    <w:rsid w:val="2C006833"/>
    <w:rsid w:val="2C034F7B"/>
    <w:rsid w:val="2C040D89"/>
    <w:rsid w:val="2C0509D9"/>
    <w:rsid w:val="2C05481D"/>
    <w:rsid w:val="2C056AF9"/>
    <w:rsid w:val="2C096EF6"/>
    <w:rsid w:val="2C220DB4"/>
    <w:rsid w:val="2C247FF1"/>
    <w:rsid w:val="2C3C0030"/>
    <w:rsid w:val="2C3F3887"/>
    <w:rsid w:val="2C45016F"/>
    <w:rsid w:val="2C516E38"/>
    <w:rsid w:val="2C533A6A"/>
    <w:rsid w:val="2C560EA3"/>
    <w:rsid w:val="2C617496"/>
    <w:rsid w:val="2C62156F"/>
    <w:rsid w:val="2C6A047D"/>
    <w:rsid w:val="2C6F41F6"/>
    <w:rsid w:val="2C730778"/>
    <w:rsid w:val="2C7E030A"/>
    <w:rsid w:val="2C833FFB"/>
    <w:rsid w:val="2C84380F"/>
    <w:rsid w:val="2C8F430E"/>
    <w:rsid w:val="2C970335"/>
    <w:rsid w:val="2CA21894"/>
    <w:rsid w:val="2CA4476E"/>
    <w:rsid w:val="2CAD4F6B"/>
    <w:rsid w:val="2CB17FD2"/>
    <w:rsid w:val="2CC16AFA"/>
    <w:rsid w:val="2CC95D10"/>
    <w:rsid w:val="2CC96A11"/>
    <w:rsid w:val="2CCA43FF"/>
    <w:rsid w:val="2CCB5A72"/>
    <w:rsid w:val="2CD57684"/>
    <w:rsid w:val="2CD67A0B"/>
    <w:rsid w:val="2CD75666"/>
    <w:rsid w:val="2CD83FF1"/>
    <w:rsid w:val="2CDC6591"/>
    <w:rsid w:val="2CDE08F2"/>
    <w:rsid w:val="2CE03AB0"/>
    <w:rsid w:val="2CE86737"/>
    <w:rsid w:val="2CEB494F"/>
    <w:rsid w:val="2CEF53E3"/>
    <w:rsid w:val="2CF53A56"/>
    <w:rsid w:val="2CF649A9"/>
    <w:rsid w:val="2CF9444D"/>
    <w:rsid w:val="2CFC27E4"/>
    <w:rsid w:val="2D061051"/>
    <w:rsid w:val="2D0766E4"/>
    <w:rsid w:val="2D0B702A"/>
    <w:rsid w:val="2D107EBA"/>
    <w:rsid w:val="2D12609F"/>
    <w:rsid w:val="2D1B67A1"/>
    <w:rsid w:val="2D1F4BCA"/>
    <w:rsid w:val="2D221AAA"/>
    <w:rsid w:val="2D254ED3"/>
    <w:rsid w:val="2D2651C9"/>
    <w:rsid w:val="2D397977"/>
    <w:rsid w:val="2D3D74EA"/>
    <w:rsid w:val="2D476C62"/>
    <w:rsid w:val="2D504333"/>
    <w:rsid w:val="2D521264"/>
    <w:rsid w:val="2D567058"/>
    <w:rsid w:val="2D57290A"/>
    <w:rsid w:val="2D5D7FE8"/>
    <w:rsid w:val="2D5E7E01"/>
    <w:rsid w:val="2D6030A2"/>
    <w:rsid w:val="2D660EF9"/>
    <w:rsid w:val="2D6A677C"/>
    <w:rsid w:val="2D6C2B47"/>
    <w:rsid w:val="2D763F45"/>
    <w:rsid w:val="2D820204"/>
    <w:rsid w:val="2D8402FC"/>
    <w:rsid w:val="2D88024C"/>
    <w:rsid w:val="2D935488"/>
    <w:rsid w:val="2D960FB5"/>
    <w:rsid w:val="2D9B4423"/>
    <w:rsid w:val="2DAC2EF4"/>
    <w:rsid w:val="2DAD4BCD"/>
    <w:rsid w:val="2DAD789E"/>
    <w:rsid w:val="2DB453FF"/>
    <w:rsid w:val="2DB72446"/>
    <w:rsid w:val="2DBE4237"/>
    <w:rsid w:val="2DBF1693"/>
    <w:rsid w:val="2DCA22C7"/>
    <w:rsid w:val="2DCB10F0"/>
    <w:rsid w:val="2DCB38A1"/>
    <w:rsid w:val="2DD066E9"/>
    <w:rsid w:val="2DDC0ED4"/>
    <w:rsid w:val="2DE3054F"/>
    <w:rsid w:val="2DE7186E"/>
    <w:rsid w:val="2DF036FB"/>
    <w:rsid w:val="2DF21CB3"/>
    <w:rsid w:val="2DFD78B4"/>
    <w:rsid w:val="2DFE083B"/>
    <w:rsid w:val="2E0708FF"/>
    <w:rsid w:val="2E11457C"/>
    <w:rsid w:val="2E1643B9"/>
    <w:rsid w:val="2E184C0F"/>
    <w:rsid w:val="2E187142"/>
    <w:rsid w:val="2E1F18AD"/>
    <w:rsid w:val="2E282709"/>
    <w:rsid w:val="2E285E19"/>
    <w:rsid w:val="2E28757C"/>
    <w:rsid w:val="2E2C723F"/>
    <w:rsid w:val="2E332EEF"/>
    <w:rsid w:val="2E3D0855"/>
    <w:rsid w:val="2E3F6B8A"/>
    <w:rsid w:val="2E406C31"/>
    <w:rsid w:val="2E467FE7"/>
    <w:rsid w:val="2E527715"/>
    <w:rsid w:val="2E530660"/>
    <w:rsid w:val="2E531152"/>
    <w:rsid w:val="2E5448E2"/>
    <w:rsid w:val="2E565287"/>
    <w:rsid w:val="2E5F1E47"/>
    <w:rsid w:val="2E682652"/>
    <w:rsid w:val="2E6B6D27"/>
    <w:rsid w:val="2E7A506F"/>
    <w:rsid w:val="2E7B0600"/>
    <w:rsid w:val="2E7B273D"/>
    <w:rsid w:val="2E7D30EA"/>
    <w:rsid w:val="2E8028E0"/>
    <w:rsid w:val="2E88139A"/>
    <w:rsid w:val="2E8B051E"/>
    <w:rsid w:val="2E8F062E"/>
    <w:rsid w:val="2E905D65"/>
    <w:rsid w:val="2E916275"/>
    <w:rsid w:val="2E9D560F"/>
    <w:rsid w:val="2E9F7EC1"/>
    <w:rsid w:val="2EA234E1"/>
    <w:rsid w:val="2EB17C70"/>
    <w:rsid w:val="2EB411B5"/>
    <w:rsid w:val="2EBD49E1"/>
    <w:rsid w:val="2EBF0ED1"/>
    <w:rsid w:val="2EC42186"/>
    <w:rsid w:val="2EC7495E"/>
    <w:rsid w:val="2EC776BB"/>
    <w:rsid w:val="2ECA39AD"/>
    <w:rsid w:val="2ECC0C07"/>
    <w:rsid w:val="2ED03009"/>
    <w:rsid w:val="2EED4C9D"/>
    <w:rsid w:val="2EF01DA9"/>
    <w:rsid w:val="2EF224CD"/>
    <w:rsid w:val="2EF67D61"/>
    <w:rsid w:val="2EFA2F2B"/>
    <w:rsid w:val="2F010C22"/>
    <w:rsid w:val="2F195BDC"/>
    <w:rsid w:val="2F2913A5"/>
    <w:rsid w:val="2F2E23A6"/>
    <w:rsid w:val="2F2E289C"/>
    <w:rsid w:val="2F350F19"/>
    <w:rsid w:val="2F383567"/>
    <w:rsid w:val="2F3B1918"/>
    <w:rsid w:val="2F415DC8"/>
    <w:rsid w:val="2F514AAE"/>
    <w:rsid w:val="2F531FEB"/>
    <w:rsid w:val="2F5A4EA5"/>
    <w:rsid w:val="2F5B5B3B"/>
    <w:rsid w:val="2F615468"/>
    <w:rsid w:val="2F655F0E"/>
    <w:rsid w:val="2F6B73F9"/>
    <w:rsid w:val="2F6D4FA6"/>
    <w:rsid w:val="2F6E6713"/>
    <w:rsid w:val="2F743486"/>
    <w:rsid w:val="2F756E65"/>
    <w:rsid w:val="2F77354F"/>
    <w:rsid w:val="2F7A7069"/>
    <w:rsid w:val="2F7B2789"/>
    <w:rsid w:val="2F8001B6"/>
    <w:rsid w:val="2F897AA1"/>
    <w:rsid w:val="2F8D4D67"/>
    <w:rsid w:val="2F8E2F8D"/>
    <w:rsid w:val="2F9051B8"/>
    <w:rsid w:val="2F910893"/>
    <w:rsid w:val="2F9A69D2"/>
    <w:rsid w:val="2F9A7210"/>
    <w:rsid w:val="2F9C6646"/>
    <w:rsid w:val="2F9D4AA3"/>
    <w:rsid w:val="2F9F094E"/>
    <w:rsid w:val="2FA213D6"/>
    <w:rsid w:val="2FA5152D"/>
    <w:rsid w:val="2FA96250"/>
    <w:rsid w:val="2FAA31BA"/>
    <w:rsid w:val="2FB11323"/>
    <w:rsid w:val="2FBB6A2A"/>
    <w:rsid w:val="2FC2166F"/>
    <w:rsid w:val="2FCB0952"/>
    <w:rsid w:val="2FD53529"/>
    <w:rsid w:val="2FD80709"/>
    <w:rsid w:val="2FDF2368"/>
    <w:rsid w:val="2FDF7CD4"/>
    <w:rsid w:val="2FEC08C6"/>
    <w:rsid w:val="2FF532B7"/>
    <w:rsid w:val="2FF674CB"/>
    <w:rsid w:val="2FF7251F"/>
    <w:rsid w:val="30007788"/>
    <w:rsid w:val="30093592"/>
    <w:rsid w:val="301977C7"/>
    <w:rsid w:val="301E3E25"/>
    <w:rsid w:val="30205153"/>
    <w:rsid w:val="30253FAB"/>
    <w:rsid w:val="30270D6F"/>
    <w:rsid w:val="303B3B59"/>
    <w:rsid w:val="303C0C41"/>
    <w:rsid w:val="303D6437"/>
    <w:rsid w:val="30443F81"/>
    <w:rsid w:val="304F6AE3"/>
    <w:rsid w:val="305831D6"/>
    <w:rsid w:val="3058428D"/>
    <w:rsid w:val="305A4537"/>
    <w:rsid w:val="30632880"/>
    <w:rsid w:val="3070014A"/>
    <w:rsid w:val="307B4FFA"/>
    <w:rsid w:val="308136E0"/>
    <w:rsid w:val="308719BC"/>
    <w:rsid w:val="3095375A"/>
    <w:rsid w:val="30977E19"/>
    <w:rsid w:val="309B2688"/>
    <w:rsid w:val="30A90B96"/>
    <w:rsid w:val="30A91070"/>
    <w:rsid w:val="30B26464"/>
    <w:rsid w:val="30B420CD"/>
    <w:rsid w:val="30B86332"/>
    <w:rsid w:val="30C91D87"/>
    <w:rsid w:val="30D10B78"/>
    <w:rsid w:val="30D251E3"/>
    <w:rsid w:val="30D36EB7"/>
    <w:rsid w:val="30D45137"/>
    <w:rsid w:val="30D51A41"/>
    <w:rsid w:val="30E7233C"/>
    <w:rsid w:val="30F3215C"/>
    <w:rsid w:val="30FB3BF4"/>
    <w:rsid w:val="31061593"/>
    <w:rsid w:val="31076B28"/>
    <w:rsid w:val="31076EFA"/>
    <w:rsid w:val="310866BC"/>
    <w:rsid w:val="31154DED"/>
    <w:rsid w:val="3120790D"/>
    <w:rsid w:val="31215B33"/>
    <w:rsid w:val="312A36B1"/>
    <w:rsid w:val="31337532"/>
    <w:rsid w:val="313A1C55"/>
    <w:rsid w:val="313A2CAC"/>
    <w:rsid w:val="313E6356"/>
    <w:rsid w:val="31460C29"/>
    <w:rsid w:val="314B3239"/>
    <w:rsid w:val="31596E9F"/>
    <w:rsid w:val="315B21E9"/>
    <w:rsid w:val="315B5E62"/>
    <w:rsid w:val="31604DC0"/>
    <w:rsid w:val="31607973"/>
    <w:rsid w:val="3163108E"/>
    <w:rsid w:val="3167538F"/>
    <w:rsid w:val="316A2AFE"/>
    <w:rsid w:val="317544CD"/>
    <w:rsid w:val="31765162"/>
    <w:rsid w:val="317A487D"/>
    <w:rsid w:val="317D76C8"/>
    <w:rsid w:val="31833BCE"/>
    <w:rsid w:val="318A1515"/>
    <w:rsid w:val="31944F6F"/>
    <w:rsid w:val="31963456"/>
    <w:rsid w:val="31A47F00"/>
    <w:rsid w:val="31A51052"/>
    <w:rsid w:val="31A77BCC"/>
    <w:rsid w:val="31A84B64"/>
    <w:rsid w:val="31B12D3C"/>
    <w:rsid w:val="31B2653B"/>
    <w:rsid w:val="31B266EC"/>
    <w:rsid w:val="31B45163"/>
    <w:rsid w:val="31B4700F"/>
    <w:rsid w:val="31B81D35"/>
    <w:rsid w:val="31C3729F"/>
    <w:rsid w:val="31CB617D"/>
    <w:rsid w:val="31CC0ECB"/>
    <w:rsid w:val="31DD2EC1"/>
    <w:rsid w:val="31DF1DB8"/>
    <w:rsid w:val="31E56082"/>
    <w:rsid w:val="31F020DC"/>
    <w:rsid w:val="31F072F8"/>
    <w:rsid w:val="31FE06B9"/>
    <w:rsid w:val="32007322"/>
    <w:rsid w:val="32061C7F"/>
    <w:rsid w:val="320A52D8"/>
    <w:rsid w:val="320D2005"/>
    <w:rsid w:val="32136025"/>
    <w:rsid w:val="32220D79"/>
    <w:rsid w:val="32252577"/>
    <w:rsid w:val="3228412F"/>
    <w:rsid w:val="32294648"/>
    <w:rsid w:val="322F0831"/>
    <w:rsid w:val="3238009F"/>
    <w:rsid w:val="323F5519"/>
    <w:rsid w:val="32442E52"/>
    <w:rsid w:val="32471CC6"/>
    <w:rsid w:val="324F0134"/>
    <w:rsid w:val="32540593"/>
    <w:rsid w:val="32575B7F"/>
    <w:rsid w:val="32582CC3"/>
    <w:rsid w:val="3269055E"/>
    <w:rsid w:val="326F43FE"/>
    <w:rsid w:val="327179A4"/>
    <w:rsid w:val="32775626"/>
    <w:rsid w:val="3281262C"/>
    <w:rsid w:val="32835AB1"/>
    <w:rsid w:val="328A3A5F"/>
    <w:rsid w:val="328D7371"/>
    <w:rsid w:val="328E2231"/>
    <w:rsid w:val="328F22F9"/>
    <w:rsid w:val="329326B7"/>
    <w:rsid w:val="329426A2"/>
    <w:rsid w:val="329708DE"/>
    <w:rsid w:val="32AD1211"/>
    <w:rsid w:val="32BE0045"/>
    <w:rsid w:val="32E12F9A"/>
    <w:rsid w:val="32E87F66"/>
    <w:rsid w:val="32E97C5E"/>
    <w:rsid w:val="32EC46FB"/>
    <w:rsid w:val="32F64CAC"/>
    <w:rsid w:val="32FF12B8"/>
    <w:rsid w:val="33000B4D"/>
    <w:rsid w:val="330073AA"/>
    <w:rsid w:val="33020BF1"/>
    <w:rsid w:val="330710D7"/>
    <w:rsid w:val="331264BB"/>
    <w:rsid w:val="331A102D"/>
    <w:rsid w:val="331E3887"/>
    <w:rsid w:val="33224534"/>
    <w:rsid w:val="332742E9"/>
    <w:rsid w:val="332850C4"/>
    <w:rsid w:val="332A1AC1"/>
    <w:rsid w:val="332C71E1"/>
    <w:rsid w:val="332E1BC2"/>
    <w:rsid w:val="332E224E"/>
    <w:rsid w:val="332F3B66"/>
    <w:rsid w:val="333B116B"/>
    <w:rsid w:val="333E2024"/>
    <w:rsid w:val="33427ABB"/>
    <w:rsid w:val="33501AF9"/>
    <w:rsid w:val="33616D4E"/>
    <w:rsid w:val="338134D4"/>
    <w:rsid w:val="33821BAB"/>
    <w:rsid w:val="338378EA"/>
    <w:rsid w:val="33885755"/>
    <w:rsid w:val="339E18BC"/>
    <w:rsid w:val="33A57822"/>
    <w:rsid w:val="33A77C3C"/>
    <w:rsid w:val="33AA7345"/>
    <w:rsid w:val="33B37087"/>
    <w:rsid w:val="33BA7C82"/>
    <w:rsid w:val="33BC4D91"/>
    <w:rsid w:val="33BF4D9D"/>
    <w:rsid w:val="33C233CD"/>
    <w:rsid w:val="33C35B22"/>
    <w:rsid w:val="33C504FF"/>
    <w:rsid w:val="33C968FA"/>
    <w:rsid w:val="33D23DF5"/>
    <w:rsid w:val="33D246C3"/>
    <w:rsid w:val="33DF11C8"/>
    <w:rsid w:val="33E442C9"/>
    <w:rsid w:val="33E61B12"/>
    <w:rsid w:val="33EF44FC"/>
    <w:rsid w:val="33F751C3"/>
    <w:rsid w:val="33FB4B21"/>
    <w:rsid w:val="33FE7E15"/>
    <w:rsid w:val="33FF1154"/>
    <w:rsid w:val="340074AF"/>
    <w:rsid w:val="340948E1"/>
    <w:rsid w:val="340D3904"/>
    <w:rsid w:val="340F116F"/>
    <w:rsid w:val="341212B1"/>
    <w:rsid w:val="341321BE"/>
    <w:rsid w:val="34155C01"/>
    <w:rsid w:val="34293255"/>
    <w:rsid w:val="34314E1D"/>
    <w:rsid w:val="34315823"/>
    <w:rsid w:val="34346CEE"/>
    <w:rsid w:val="34374868"/>
    <w:rsid w:val="34376C25"/>
    <w:rsid w:val="343D2D4C"/>
    <w:rsid w:val="34417702"/>
    <w:rsid w:val="34417EB0"/>
    <w:rsid w:val="3446518F"/>
    <w:rsid w:val="344A296C"/>
    <w:rsid w:val="344C25CD"/>
    <w:rsid w:val="344E045C"/>
    <w:rsid w:val="344F610D"/>
    <w:rsid w:val="34512060"/>
    <w:rsid w:val="345232B0"/>
    <w:rsid w:val="345A0779"/>
    <w:rsid w:val="345B15DB"/>
    <w:rsid w:val="346B1ADA"/>
    <w:rsid w:val="346C4A94"/>
    <w:rsid w:val="346E7A5A"/>
    <w:rsid w:val="3477244E"/>
    <w:rsid w:val="34782617"/>
    <w:rsid w:val="347946FA"/>
    <w:rsid w:val="347A6171"/>
    <w:rsid w:val="348146D7"/>
    <w:rsid w:val="348440EB"/>
    <w:rsid w:val="348D33D3"/>
    <w:rsid w:val="3496737A"/>
    <w:rsid w:val="349C03F2"/>
    <w:rsid w:val="34A152D5"/>
    <w:rsid w:val="34A238C5"/>
    <w:rsid w:val="34AC0653"/>
    <w:rsid w:val="34AC2DE9"/>
    <w:rsid w:val="34B24855"/>
    <w:rsid w:val="34B3070C"/>
    <w:rsid w:val="34B55560"/>
    <w:rsid w:val="34B84D9B"/>
    <w:rsid w:val="34BE7103"/>
    <w:rsid w:val="34C82B00"/>
    <w:rsid w:val="34C9343D"/>
    <w:rsid w:val="34CC0600"/>
    <w:rsid w:val="34CE3369"/>
    <w:rsid w:val="34DC1C67"/>
    <w:rsid w:val="34E416EC"/>
    <w:rsid w:val="34E47162"/>
    <w:rsid w:val="34E664D6"/>
    <w:rsid w:val="34F64CDD"/>
    <w:rsid w:val="34FF095B"/>
    <w:rsid w:val="3500311A"/>
    <w:rsid w:val="350B76BF"/>
    <w:rsid w:val="350C5C16"/>
    <w:rsid w:val="351710F0"/>
    <w:rsid w:val="351F4B47"/>
    <w:rsid w:val="352B4097"/>
    <w:rsid w:val="352E435E"/>
    <w:rsid w:val="3534069E"/>
    <w:rsid w:val="353807E2"/>
    <w:rsid w:val="353D45FA"/>
    <w:rsid w:val="353F0E06"/>
    <w:rsid w:val="35422CF2"/>
    <w:rsid w:val="354933C6"/>
    <w:rsid w:val="35505013"/>
    <w:rsid w:val="35522298"/>
    <w:rsid w:val="35531CAD"/>
    <w:rsid w:val="3559121F"/>
    <w:rsid w:val="355A18A2"/>
    <w:rsid w:val="35652ACF"/>
    <w:rsid w:val="356D51F7"/>
    <w:rsid w:val="35735BCB"/>
    <w:rsid w:val="357972DF"/>
    <w:rsid w:val="357D79D3"/>
    <w:rsid w:val="35804F9D"/>
    <w:rsid w:val="35843B49"/>
    <w:rsid w:val="35884385"/>
    <w:rsid w:val="35890016"/>
    <w:rsid w:val="358B0F26"/>
    <w:rsid w:val="35924A15"/>
    <w:rsid w:val="359753B1"/>
    <w:rsid w:val="35991DF7"/>
    <w:rsid w:val="35A251D2"/>
    <w:rsid w:val="35A25468"/>
    <w:rsid w:val="35A82DEE"/>
    <w:rsid w:val="35AC56FE"/>
    <w:rsid w:val="35C3354B"/>
    <w:rsid w:val="35C635D8"/>
    <w:rsid w:val="35C8705E"/>
    <w:rsid w:val="35CB283C"/>
    <w:rsid w:val="35D02A2E"/>
    <w:rsid w:val="35D16387"/>
    <w:rsid w:val="35DF2011"/>
    <w:rsid w:val="35E1012B"/>
    <w:rsid w:val="35E1505C"/>
    <w:rsid w:val="35E328B8"/>
    <w:rsid w:val="35E3701E"/>
    <w:rsid w:val="35E420DE"/>
    <w:rsid w:val="35E607CD"/>
    <w:rsid w:val="35EB34A9"/>
    <w:rsid w:val="35EC6F4A"/>
    <w:rsid w:val="35EE6A38"/>
    <w:rsid w:val="35F5734F"/>
    <w:rsid w:val="35F65884"/>
    <w:rsid w:val="35F715DC"/>
    <w:rsid w:val="36023BFE"/>
    <w:rsid w:val="36057267"/>
    <w:rsid w:val="360632C2"/>
    <w:rsid w:val="362131A7"/>
    <w:rsid w:val="362E1546"/>
    <w:rsid w:val="36330CA5"/>
    <w:rsid w:val="363828C2"/>
    <w:rsid w:val="363F061B"/>
    <w:rsid w:val="364236D7"/>
    <w:rsid w:val="3645509F"/>
    <w:rsid w:val="3654563C"/>
    <w:rsid w:val="365763B3"/>
    <w:rsid w:val="366F70DE"/>
    <w:rsid w:val="367C0A7E"/>
    <w:rsid w:val="367E5840"/>
    <w:rsid w:val="36856B5A"/>
    <w:rsid w:val="36883C27"/>
    <w:rsid w:val="36950061"/>
    <w:rsid w:val="36A32443"/>
    <w:rsid w:val="36A61ADA"/>
    <w:rsid w:val="36AC504E"/>
    <w:rsid w:val="36AE7AB6"/>
    <w:rsid w:val="36B45F51"/>
    <w:rsid w:val="36B7013F"/>
    <w:rsid w:val="36D37FB9"/>
    <w:rsid w:val="36D40D9D"/>
    <w:rsid w:val="36D71D0D"/>
    <w:rsid w:val="36DC4984"/>
    <w:rsid w:val="36E17BD4"/>
    <w:rsid w:val="36E30071"/>
    <w:rsid w:val="36E31151"/>
    <w:rsid w:val="36E61D1E"/>
    <w:rsid w:val="36EF4947"/>
    <w:rsid w:val="36F76FAD"/>
    <w:rsid w:val="37060D5C"/>
    <w:rsid w:val="370F6D7D"/>
    <w:rsid w:val="3711176D"/>
    <w:rsid w:val="37113E21"/>
    <w:rsid w:val="37137BA3"/>
    <w:rsid w:val="3715441F"/>
    <w:rsid w:val="37244D17"/>
    <w:rsid w:val="373F483B"/>
    <w:rsid w:val="37451D56"/>
    <w:rsid w:val="374A1080"/>
    <w:rsid w:val="375C645A"/>
    <w:rsid w:val="37633810"/>
    <w:rsid w:val="376A27F4"/>
    <w:rsid w:val="37737FCD"/>
    <w:rsid w:val="377E4EC2"/>
    <w:rsid w:val="37831AFE"/>
    <w:rsid w:val="37855CA5"/>
    <w:rsid w:val="379747E4"/>
    <w:rsid w:val="37A10A3C"/>
    <w:rsid w:val="37A32862"/>
    <w:rsid w:val="37A771F1"/>
    <w:rsid w:val="37A83EE9"/>
    <w:rsid w:val="37AA1FED"/>
    <w:rsid w:val="37B033F0"/>
    <w:rsid w:val="37B25951"/>
    <w:rsid w:val="37B82D37"/>
    <w:rsid w:val="37BB1880"/>
    <w:rsid w:val="37BF7DD8"/>
    <w:rsid w:val="37CA6F5D"/>
    <w:rsid w:val="37CF39F4"/>
    <w:rsid w:val="37DE142C"/>
    <w:rsid w:val="37DF4E44"/>
    <w:rsid w:val="38074D9E"/>
    <w:rsid w:val="38093CF4"/>
    <w:rsid w:val="38132FDB"/>
    <w:rsid w:val="381523AC"/>
    <w:rsid w:val="3816611D"/>
    <w:rsid w:val="381A7833"/>
    <w:rsid w:val="381D6FCC"/>
    <w:rsid w:val="382276D7"/>
    <w:rsid w:val="38255502"/>
    <w:rsid w:val="382563C3"/>
    <w:rsid w:val="382B10C6"/>
    <w:rsid w:val="383D4592"/>
    <w:rsid w:val="384502C9"/>
    <w:rsid w:val="384757BF"/>
    <w:rsid w:val="38493B62"/>
    <w:rsid w:val="384A568A"/>
    <w:rsid w:val="384C2E85"/>
    <w:rsid w:val="384D7A6B"/>
    <w:rsid w:val="38527F5E"/>
    <w:rsid w:val="38576EB1"/>
    <w:rsid w:val="385B78DA"/>
    <w:rsid w:val="385E7289"/>
    <w:rsid w:val="386B3647"/>
    <w:rsid w:val="386E60E1"/>
    <w:rsid w:val="386F64C6"/>
    <w:rsid w:val="38724636"/>
    <w:rsid w:val="38755246"/>
    <w:rsid w:val="38850F2D"/>
    <w:rsid w:val="388A7003"/>
    <w:rsid w:val="388F47CD"/>
    <w:rsid w:val="3891497A"/>
    <w:rsid w:val="38921D1F"/>
    <w:rsid w:val="38934709"/>
    <w:rsid w:val="3899545E"/>
    <w:rsid w:val="389B63CB"/>
    <w:rsid w:val="389D36E7"/>
    <w:rsid w:val="38A039DA"/>
    <w:rsid w:val="38AD0AAC"/>
    <w:rsid w:val="38AF121A"/>
    <w:rsid w:val="38B10DA8"/>
    <w:rsid w:val="38B94B51"/>
    <w:rsid w:val="38B976FB"/>
    <w:rsid w:val="38BB5EDA"/>
    <w:rsid w:val="38C6779A"/>
    <w:rsid w:val="38D26097"/>
    <w:rsid w:val="38DC2A26"/>
    <w:rsid w:val="38DC5040"/>
    <w:rsid w:val="38EA0958"/>
    <w:rsid w:val="38EA292A"/>
    <w:rsid w:val="38EB3140"/>
    <w:rsid w:val="38F71493"/>
    <w:rsid w:val="38FC7F68"/>
    <w:rsid w:val="390150BD"/>
    <w:rsid w:val="39015BC8"/>
    <w:rsid w:val="39024400"/>
    <w:rsid w:val="390A29CF"/>
    <w:rsid w:val="390D7AA7"/>
    <w:rsid w:val="3910183F"/>
    <w:rsid w:val="39132EBE"/>
    <w:rsid w:val="39183836"/>
    <w:rsid w:val="39192D79"/>
    <w:rsid w:val="3923223F"/>
    <w:rsid w:val="39271D8A"/>
    <w:rsid w:val="392C3404"/>
    <w:rsid w:val="393D3E8F"/>
    <w:rsid w:val="393F3649"/>
    <w:rsid w:val="39434B25"/>
    <w:rsid w:val="39442CC4"/>
    <w:rsid w:val="39473C95"/>
    <w:rsid w:val="394A3B36"/>
    <w:rsid w:val="394C053B"/>
    <w:rsid w:val="394E0439"/>
    <w:rsid w:val="39532D05"/>
    <w:rsid w:val="395A1855"/>
    <w:rsid w:val="395E1405"/>
    <w:rsid w:val="3962425A"/>
    <w:rsid w:val="396E504E"/>
    <w:rsid w:val="396F7993"/>
    <w:rsid w:val="39734F7F"/>
    <w:rsid w:val="39741673"/>
    <w:rsid w:val="39764ECC"/>
    <w:rsid w:val="397F2866"/>
    <w:rsid w:val="39830655"/>
    <w:rsid w:val="39850A26"/>
    <w:rsid w:val="39875D3B"/>
    <w:rsid w:val="39893783"/>
    <w:rsid w:val="399108C7"/>
    <w:rsid w:val="399B6654"/>
    <w:rsid w:val="399C23C2"/>
    <w:rsid w:val="399E7C65"/>
    <w:rsid w:val="39A118CD"/>
    <w:rsid w:val="39A337DD"/>
    <w:rsid w:val="39B0295E"/>
    <w:rsid w:val="39B1002C"/>
    <w:rsid w:val="39B75345"/>
    <w:rsid w:val="39BA1CF7"/>
    <w:rsid w:val="39BA2065"/>
    <w:rsid w:val="39C83126"/>
    <w:rsid w:val="39CD4753"/>
    <w:rsid w:val="39D037AF"/>
    <w:rsid w:val="39D466BD"/>
    <w:rsid w:val="39D7158B"/>
    <w:rsid w:val="39D9675C"/>
    <w:rsid w:val="39DC1B39"/>
    <w:rsid w:val="39DE503F"/>
    <w:rsid w:val="39E03897"/>
    <w:rsid w:val="39E125BA"/>
    <w:rsid w:val="39EE1B0B"/>
    <w:rsid w:val="39F17FFD"/>
    <w:rsid w:val="39F24322"/>
    <w:rsid w:val="39FA1859"/>
    <w:rsid w:val="39FE1307"/>
    <w:rsid w:val="3A03384A"/>
    <w:rsid w:val="3A066160"/>
    <w:rsid w:val="3A083121"/>
    <w:rsid w:val="3A0D48B1"/>
    <w:rsid w:val="3A1810FA"/>
    <w:rsid w:val="3A1C5E08"/>
    <w:rsid w:val="3A2441B7"/>
    <w:rsid w:val="3A274488"/>
    <w:rsid w:val="3A28048B"/>
    <w:rsid w:val="3A336331"/>
    <w:rsid w:val="3A425B7A"/>
    <w:rsid w:val="3A431472"/>
    <w:rsid w:val="3A474B1C"/>
    <w:rsid w:val="3A5207B4"/>
    <w:rsid w:val="3A541BF5"/>
    <w:rsid w:val="3A553D9F"/>
    <w:rsid w:val="3A597477"/>
    <w:rsid w:val="3A5A285A"/>
    <w:rsid w:val="3A5E32B9"/>
    <w:rsid w:val="3A646A00"/>
    <w:rsid w:val="3A697F71"/>
    <w:rsid w:val="3A6A4AC7"/>
    <w:rsid w:val="3A6E26C3"/>
    <w:rsid w:val="3A6F0BDF"/>
    <w:rsid w:val="3A72622B"/>
    <w:rsid w:val="3A75769F"/>
    <w:rsid w:val="3A7A025B"/>
    <w:rsid w:val="3A7E2244"/>
    <w:rsid w:val="3A861E9F"/>
    <w:rsid w:val="3A897BA1"/>
    <w:rsid w:val="3A9038DA"/>
    <w:rsid w:val="3A922233"/>
    <w:rsid w:val="3A936647"/>
    <w:rsid w:val="3A9E4B32"/>
    <w:rsid w:val="3A9F1B2C"/>
    <w:rsid w:val="3AA00BCD"/>
    <w:rsid w:val="3AA04C49"/>
    <w:rsid w:val="3AA54470"/>
    <w:rsid w:val="3AA913CF"/>
    <w:rsid w:val="3AB86069"/>
    <w:rsid w:val="3AC036CC"/>
    <w:rsid w:val="3AC205A6"/>
    <w:rsid w:val="3AC257A4"/>
    <w:rsid w:val="3AC334CD"/>
    <w:rsid w:val="3ACF5E01"/>
    <w:rsid w:val="3AD16134"/>
    <w:rsid w:val="3AD17EBD"/>
    <w:rsid w:val="3ADB2291"/>
    <w:rsid w:val="3ADD199D"/>
    <w:rsid w:val="3ADE382E"/>
    <w:rsid w:val="3AEA3CFC"/>
    <w:rsid w:val="3AF044A5"/>
    <w:rsid w:val="3AF153E6"/>
    <w:rsid w:val="3AFC4CC9"/>
    <w:rsid w:val="3B00301D"/>
    <w:rsid w:val="3B031629"/>
    <w:rsid w:val="3B0D3370"/>
    <w:rsid w:val="3B1752EE"/>
    <w:rsid w:val="3B1C35AC"/>
    <w:rsid w:val="3B1F0CAE"/>
    <w:rsid w:val="3B22468C"/>
    <w:rsid w:val="3B292A67"/>
    <w:rsid w:val="3B3155AA"/>
    <w:rsid w:val="3B3E0B10"/>
    <w:rsid w:val="3B4F1508"/>
    <w:rsid w:val="3B580D61"/>
    <w:rsid w:val="3B58455D"/>
    <w:rsid w:val="3B5908EC"/>
    <w:rsid w:val="3B64699C"/>
    <w:rsid w:val="3B696BF9"/>
    <w:rsid w:val="3B6F0DCA"/>
    <w:rsid w:val="3B754E06"/>
    <w:rsid w:val="3B7B2B0A"/>
    <w:rsid w:val="3B7C7B97"/>
    <w:rsid w:val="3B8372AE"/>
    <w:rsid w:val="3B914065"/>
    <w:rsid w:val="3B9A7EDD"/>
    <w:rsid w:val="3B9F483C"/>
    <w:rsid w:val="3BB249F7"/>
    <w:rsid w:val="3BBE3122"/>
    <w:rsid w:val="3BC20515"/>
    <w:rsid w:val="3BC53C74"/>
    <w:rsid w:val="3BC60370"/>
    <w:rsid w:val="3BC62C0D"/>
    <w:rsid w:val="3BC772AB"/>
    <w:rsid w:val="3BC812C8"/>
    <w:rsid w:val="3BD741DE"/>
    <w:rsid w:val="3BE7491F"/>
    <w:rsid w:val="3BE82033"/>
    <w:rsid w:val="3BEA0B7F"/>
    <w:rsid w:val="3BEF3F98"/>
    <w:rsid w:val="3BF01125"/>
    <w:rsid w:val="3BF1165C"/>
    <w:rsid w:val="3BF82655"/>
    <w:rsid w:val="3BF90B59"/>
    <w:rsid w:val="3C035D20"/>
    <w:rsid w:val="3C0C1C74"/>
    <w:rsid w:val="3C12184A"/>
    <w:rsid w:val="3C165216"/>
    <w:rsid w:val="3C1C65D8"/>
    <w:rsid w:val="3C20030B"/>
    <w:rsid w:val="3C220A63"/>
    <w:rsid w:val="3C257E8D"/>
    <w:rsid w:val="3C286FD8"/>
    <w:rsid w:val="3C2D0C4A"/>
    <w:rsid w:val="3C326DEB"/>
    <w:rsid w:val="3C393537"/>
    <w:rsid w:val="3C3C1378"/>
    <w:rsid w:val="3C497D33"/>
    <w:rsid w:val="3C5A342C"/>
    <w:rsid w:val="3C5C0867"/>
    <w:rsid w:val="3C5E33A6"/>
    <w:rsid w:val="3C656EED"/>
    <w:rsid w:val="3C685003"/>
    <w:rsid w:val="3C6D452D"/>
    <w:rsid w:val="3C6E7843"/>
    <w:rsid w:val="3C727A71"/>
    <w:rsid w:val="3C732FE2"/>
    <w:rsid w:val="3C786DE5"/>
    <w:rsid w:val="3C7A20C3"/>
    <w:rsid w:val="3C7A3669"/>
    <w:rsid w:val="3C7D3E58"/>
    <w:rsid w:val="3C882BD0"/>
    <w:rsid w:val="3C94545E"/>
    <w:rsid w:val="3C975DCC"/>
    <w:rsid w:val="3C9912FB"/>
    <w:rsid w:val="3CAE0651"/>
    <w:rsid w:val="3CBC2D9B"/>
    <w:rsid w:val="3CC5588D"/>
    <w:rsid w:val="3CCD1D16"/>
    <w:rsid w:val="3CD83C07"/>
    <w:rsid w:val="3CD85D57"/>
    <w:rsid w:val="3CD87AA0"/>
    <w:rsid w:val="3CDA5112"/>
    <w:rsid w:val="3CDB62C1"/>
    <w:rsid w:val="3CE13BDF"/>
    <w:rsid w:val="3CE26359"/>
    <w:rsid w:val="3CE70364"/>
    <w:rsid w:val="3CE83CD2"/>
    <w:rsid w:val="3CFD4D35"/>
    <w:rsid w:val="3D064D69"/>
    <w:rsid w:val="3D0E3667"/>
    <w:rsid w:val="3D0E399D"/>
    <w:rsid w:val="3D123F8D"/>
    <w:rsid w:val="3D12721E"/>
    <w:rsid w:val="3D1B45BC"/>
    <w:rsid w:val="3D27093B"/>
    <w:rsid w:val="3D351ADA"/>
    <w:rsid w:val="3D3D6CB6"/>
    <w:rsid w:val="3D444248"/>
    <w:rsid w:val="3D4B2FA5"/>
    <w:rsid w:val="3D4C7BDB"/>
    <w:rsid w:val="3D527DA5"/>
    <w:rsid w:val="3D546058"/>
    <w:rsid w:val="3D5461A9"/>
    <w:rsid w:val="3D58650A"/>
    <w:rsid w:val="3D590765"/>
    <w:rsid w:val="3D5A6060"/>
    <w:rsid w:val="3D640E16"/>
    <w:rsid w:val="3D67132F"/>
    <w:rsid w:val="3D76421C"/>
    <w:rsid w:val="3D7B0D27"/>
    <w:rsid w:val="3D7E27A0"/>
    <w:rsid w:val="3D874F51"/>
    <w:rsid w:val="3D896CEB"/>
    <w:rsid w:val="3D9A2D6C"/>
    <w:rsid w:val="3D9D0681"/>
    <w:rsid w:val="3DA2325F"/>
    <w:rsid w:val="3DAF1596"/>
    <w:rsid w:val="3DB52668"/>
    <w:rsid w:val="3DB63F51"/>
    <w:rsid w:val="3DC60A0C"/>
    <w:rsid w:val="3DD3077A"/>
    <w:rsid w:val="3DDF7A0D"/>
    <w:rsid w:val="3DF176B5"/>
    <w:rsid w:val="3DFD4BBE"/>
    <w:rsid w:val="3E00097B"/>
    <w:rsid w:val="3E011326"/>
    <w:rsid w:val="3E024B7B"/>
    <w:rsid w:val="3E104548"/>
    <w:rsid w:val="3E19435F"/>
    <w:rsid w:val="3E1B47C8"/>
    <w:rsid w:val="3E20393D"/>
    <w:rsid w:val="3E205773"/>
    <w:rsid w:val="3E264105"/>
    <w:rsid w:val="3E264903"/>
    <w:rsid w:val="3E2806A1"/>
    <w:rsid w:val="3E286D72"/>
    <w:rsid w:val="3E2E35CB"/>
    <w:rsid w:val="3E2F087F"/>
    <w:rsid w:val="3E31025E"/>
    <w:rsid w:val="3E342DA3"/>
    <w:rsid w:val="3E471ABE"/>
    <w:rsid w:val="3E4755F9"/>
    <w:rsid w:val="3E492A39"/>
    <w:rsid w:val="3E4B1409"/>
    <w:rsid w:val="3E556354"/>
    <w:rsid w:val="3E6336EF"/>
    <w:rsid w:val="3E660D1B"/>
    <w:rsid w:val="3E6E2E9E"/>
    <w:rsid w:val="3E8222F7"/>
    <w:rsid w:val="3E8258B1"/>
    <w:rsid w:val="3E8821CE"/>
    <w:rsid w:val="3E92738B"/>
    <w:rsid w:val="3E944E87"/>
    <w:rsid w:val="3E99456A"/>
    <w:rsid w:val="3EA0570F"/>
    <w:rsid w:val="3EA2409C"/>
    <w:rsid w:val="3EA758E3"/>
    <w:rsid w:val="3EAD3D57"/>
    <w:rsid w:val="3EAF02B7"/>
    <w:rsid w:val="3EB1188E"/>
    <w:rsid w:val="3EB428B4"/>
    <w:rsid w:val="3EBD63D7"/>
    <w:rsid w:val="3EC07733"/>
    <w:rsid w:val="3EC172CA"/>
    <w:rsid w:val="3EC334A7"/>
    <w:rsid w:val="3EC678BC"/>
    <w:rsid w:val="3ECC70B0"/>
    <w:rsid w:val="3ED01824"/>
    <w:rsid w:val="3EE067CA"/>
    <w:rsid w:val="3EE919E0"/>
    <w:rsid w:val="3EEF26AB"/>
    <w:rsid w:val="3EF21C38"/>
    <w:rsid w:val="3EF57D05"/>
    <w:rsid w:val="3EF96B38"/>
    <w:rsid w:val="3F002CCF"/>
    <w:rsid w:val="3F012022"/>
    <w:rsid w:val="3F0566FF"/>
    <w:rsid w:val="3F0605BE"/>
    <w:rsid w:val="3F06365D"/>
    <w:rsid w:val="3F0A3CA5"/>
    <w:rsid w:val="3F0B1DB8"/>
    <w:rsid w:val="3F0C44E7"/>
    <w:rsid w:val="3F0E6EA3"/>
    <w:rsid w:val="3F122278"/>
    <w:rsid w:val="3F155D82"/>
    <w:rsid w:val="3F1B7922"/>
    <w:rsid w:val="3F261DEC"/>
    <w:rsid w:val="3F305E06"/>
    <w:rsid w:val="3F3737F8"/>
    <w:rsid w:val="3F453E8A"/>
    <w:rsid w:val="3F47737F"/>
    <w:rsid w:val="3F523976"/>
    <w:rsid w:val="3F52626A"/>
    <w:rsid w:val="3F5322DF"/>
    <w:rsid w:val="3F556A35"/>
    <w:rsid w:val="3F5867B3"/>
    <w:rsid w:val="3F595294"/>
    <w:rsid w:val="3F5A301C"/>
    <w:rsid w:val="3F637202"/>
    <w:rsid w:val="3F65418C"/>
    <w:rsid w:val="3F664F14"/>
    <w:rsid w:val="3F6763B0"/>
    <w:rsid w:val="3F6D1D36"/>
    <w:rsid w:val="3F6D2017"/>
    <w:rsid w:val="3F7339EB"/>
    <w:rsid w:val="3F770167"/>
    <w:rsid w:val="3F7D65D1"/>
    <w:rsid w:val="3F8157CB"/>
    <w:rsid w:val="3F836296"/>
    <w:rsid w:val="3F9526FD"/>
    <w:rsid w:val="3F960218"/>
    <w:rsid w:val="3F9956BA"/>
    <w:rsid w:val="3F9B508E"/>
    <w:rsid w:val="3FA01128"/>
    <w:rsid w:val="3FA10F73"/>
    <w:rsid w:val="3FA51002"/>
    <w:rsid w:val="3FA5548C"/>
    <w:rsid w:val="3FAE5C18"/>
    <w:rsid w:val="3FB1448E"/>
    <w:rsid w:val="3FB33F0F"/>
    <w:rsid w:val="3FB56B87"/>
    <w:rsid w:val="3FB827B0"/>
    <w:rsid w:val="3FB9798A"/>
    <w:rsid w:val="3FBB4D64"/>
    <w:rsid w:val="3FBC4DF5"/>
    <w:rsid w:val="3FBE226E"/>
    <w:rsid w:val="3FC74EA5"/>
    <w:rsid w:val="3FC80A13"/>
    <w:rsid w:val="3FC924C5"/>
    <w:rsid w:val="3FD001E0"/>
    <w:rsid w:val="3FD35125"/>
    <w:rsid w:val="3FD436D8"/>
    <w:rsid w:val="3FDD5AA3"/>
    <w:rsid w:val="3FDD60EB"/>
    <w:rsid w:val="3FE1611D"/>
    <w:rsid w:val="3FE9762E"/>
    <w:rsid w:val="3FEB7EF7"/>
    <w:rsid w:val="3FF0534A"/>
    <w:rsid w:val="3FF07D9D"/>
    <w:rsid w:val="3FFC6AA1"/>
    <w:rsid w:val="3FFE725C"/>
    <w:rsid w:val="400D4689"/>
    <w:rsid w:val="40171E63"/>
    <w:rsid w:val="401B305E"/>
    <w:rsid w:val="401C023A"/>
    <w:rsid w:val="401E624D"/>
    <w:rsid w:val="403C6E09"/>
    <w:rsid w:val="403E0A98"/>
    <w:rsid w:val="4040700B"/>
    <w:rsid w:val="4049653A"/>
    <w:rsid w:val="40505926"/>
    <w:rsid w:val="405074F9"/>
    <w:rsid w:val="40592E1A"/>
    <w:rsid w:val="40742B10"/>
    <w:rsid w:val="40807B7F"/>
    <w:rsid w:val="40851F94"/>
    <w:rsid w:val="40860806"/>
    <w:rsid w:val="408727EE"/>
    <w:rsid w:val="40881B05"/>
    <w:rsid w:val="408B015C"/>
    <w:rsid w:val="408D2092"/>
    <w:rsid w:val="40987E91"/>
    <w:rsid w:val="40A456BD"/>
    <w:rsid w:val="40AE535D"/>
    <w:rsid w:val="40B323C5"/>
    <w:rsid w:val="40B40F93"/>
    <w:rsid w:val="40B4759E"/>
    <w:rsid w:val="40B77C21"/>
    <w:rsid w:val="40BB1B3B"/>
    <w:rsid w:val="40BE2CAE"/>
    <w:rsid w:val="40C87F0D"/>
    <w:rsid w:val="40CE6434"/>
    <w:rsid w:val="40E13187"/>
    <w:rsid w:val="40E4111E"/>
    <w:rsid w:val="40F110C9"/>
    <w:rsid w:val="40F71EFC"/>
    <w:rsid w:val="40FA7D3C"/>
    <w:rsid w:val="40FC6040"/>
    <w:rsid w:val="41013098"/>
    <w:rsid w:val="41046C1A"/>
    <w:rsid w:val="410A66D3"/>
    <w:rsid w:val="411252F5"/>
    <w:rsid w:val="4114428E"/>
    <w:rsid w:val="41173D23"/>
    <w:rsid w:val="41216561"/>
    <w:rsid w:val="4126157E"/>
    <w:rsid w:val="412E1703"/>
    <w:rsid w:val="41341D04"/>
    <w:rsid w:val="413D1085"/>
    <w:rsid w:val="41463814"/>
    <w:rsid w:val="414934AE"/>
    <w:rsid w:val="414E4666"/>
    <w:rsid w:val="415840E7"/>
    <w:rsid w:val="415C6645"/>
    <w:rsid w:val="415D4AA5"/>
    <w:rsid w:val="415E3F30"/>
    <w:rsid w:val="41634269"/>
    <w:rsid w:val="416D1041"/>
    <w:rsid w:val="416F185F"/>
    <w:rsid w:val="41755F8B"/>
    <w:rsid w:val="417E6FB2"/>
    <w:rsid w:val="41804E56"/>
    <w:rsid w:val="418B61F9"/>
    <w:rsid w:val="418C5064"/>
    <w:rsid w:val="41901D5A"/>
    <w:rsid w:val="41A26E55"/>
    <w:rsid w:val="41A7534C"/>
    <w:rsid w:val="41AE168E"/>
    <w:rsid w:val="41B000EA"/>
    <w:rsid w:val="41B625DB"/>
    <w:rsid w:val="41B75B9A"/>
    <w:rsid w:val="41BB28C5"/>
    <w:rsid w:val="41C505B5"/>
    <w:rsid w:val="41C64DF5"/>
    <w:rsid w:val="41D7643D"/>
    <w:rsid w:val="41D80DF6"/>
    <w:rsid w:val="41F41099"/>
    <w:rsid w:val="41F4144D"/>
    <w:rsid w:val="41F425A0"/>
    <w:rsid w:val="41FD1E4D"/>
    <w:rsid w:val="42004A07"/>
    <w:rsid w:val="42036CED"/>
    <w:rsid w:val="420445BE"/>
    <w:rsid w:val="42044B55"/>
    <w:rsid w:val="4210342F"/>
    <w:rsid w:val="42106699"/>
    <w:rsid w:val="4213466A"/>
    <w:rsid w:val="421D3532"/>
    <w:rsid w:val="422747DE"/>
    <w:rsid w:val="423D7E2C"/>
    <w:rsid w:val="42405192"/>
    <w:rsid w:val="4253494B"/>
    <w:rsid w:val="42563DD4"/>
    <w:rsid w:val="425F0874"/>
    <w:rsid w:val="42605991"/>
    <w:rsid w:val="42624CEC"/>
    <w:rsid w:val="42667AD5"/>
    <w:rsid w:val="42672F11"/>
    <w:rsid w:val="426B2083"/>
    <w:rsid w:val="42745271"/>
    <w:rsid w:val="42746AFF"/>
    <w:rsid w:val="427A2426"/>
    <w:rsid w:val="428622E0"/>
    <w:rsid w:val="428740C5"/>
    <w:rsid w:val="4295023B"/>
    <w:rsid w:val="42A72E3E"/>
    <w:rsid w:val="42A9771E"/>
    <w:rsid w:val="42AB3CF1"/>
    <w:rsid w:val="42AF06BF"/>
    <w:rsid w:val="42AF0D80"/>
    <w:rsid w:val="42AF744D"/>
    <w:rsid w:val="42B57D24"/>
    <w:rsid w:val="42B97DE2"/>
    <w:rsid w:val="42BE1411"/>
    <w:rsid w:val="42BF0482"/>
    <w:rsid w:val="42C3638C"/>
    <w:rsid w:val="42C53EF7"/>
    <w:rsid w:val="42C8399F"/>
    <w:rsid w:val="42CC1C77"/>
    <w:rsid w:val="42CE7CBC"/>
    <w:rsid w:val="42E67A2D"/>
    <w:rsid w:val="42EF6EDD"/>
    <w:rsid w:val="42F63370"/>
    <w:rsid w:val="42FF7166"/>
    <w:rsid w:val="4303189E"/>
    <w:rsid w:val="43043B4B"/>
    <w:rsid w:val="430C0701"/>
    <w:rsid w:val="431D662D"/>
    <w:rsid w:val="431D7413"/>
    <w:rsid w:val="43230977"/>
    <w:rsid w:val="43260906"/>
    <w:rsid w:val="4329778C"/>
    <w:rsid w:val="432A433E"/>
    <w:rsid w:val="432F48E4"/>
    <w:rsid w:val="433451E7"/>
    <w:rsid w:val="433454E3"/>
    <w:rsid w:val="43380FA2"/>
    <w:rsid w:val="433824BE"/>
    <w:rsid w:val="433914CB"/>
    <w:rsid w:val="433B21AA"/>
    <w:rsid w:val="434030C7"/>
    <w:rsid w:val="43413F90"/>
    <w:rsid w:val="434321EE"/>
    <w:rsid w:val="434C3803"/>
    <w:rsid w:val="4357411B"/>
    <w:rsid w:val="43624524"/>
    <w:rsid w:val="436B215F"/>
    <w:rsid w:val="436E4602"/>
    <w:rsid w:val="43773B38"/>
    <w:rsid w:val="437C303F"/>
    <w:rsid w:val="437E59F4"/>
    <w:rsid w:val="437F0235"/>
    <w:rsid w:val="438108B1"/>
    <w:rsid w:val="438127FD"/>
    <w:rsid w:val="438C318F"/>
    <w:rsid w:val="438D2962"/>
    <w:rsid w:val="439125BA"/>
    <w:rsid w:val="439B6E00"/>
    <w:rsid w:val="439E21D0"/>
    <w:rsid w:val="43A136C2"/>
    <w:rsid w:val="43A47C8D"/>
    <w:rsid w:val="43A51CEB"/>
    <w:rsid w:val="43A922AD"/>
    <w:rsid w:val="43AE228C"/>
    <w:rsid w:val="43B03D9F"/>
    <w:rsid w:val="43B2322B"/>
    <w:rsid w:val="43B27B0F"/>
    <w:rsid w:val="43BD17B6"/>
    <w:rsid w:val="43BF433F"/>
    <w:rsid w:val="43C60D41"/>
    <w:rsid w:val="43C71A8C"/>
    <w:rsid w:val="43CB49D5"/>
    <w:rsid w:val="43CC296D"/>
    <w:rsid w:val="43D10BA3"/>
    <w:rsid w:val="43D51B86"/>
    <w:rsid w:val="43D5596E"/>
    <w:rsid w:val="43D946DF"/>
    <w:rsid w:val="43DD3E84"/>
    <w:rsid w:val="43E63A35"/>
    <w:rsid w:val="43EA4AD8"/>
    <w:rsid w:val="43EA731F"/>
    <w:rsid w:val="43EF4362"/>
    <w:rsid w:val="43F5608C"/>
    <w:rsid w:val="43F67648"/>
    <w:rsid w:val="43FA20D7"/>
    <w:rsid w:val="440433D0"/>
    <w:rsid w:val="44081998"/>
    <w:rsid w:val="440A1D09"/>
    <w:rsid w:val="44105FE6"/>
    <w:rsid w:val="44163757"/>
    <w:rsid w:val="442C57B9"/>
    <w:rsid w:val="442E6250"/>
    <w:rsid w:val="44304862"/>
    <w:rsid w:val="44336B29"/>
    <w:rsid w:val="44411D78"/>
    <w:rsid w:val="444255C8"/>
    <w:rsid w:val="44555450"/>
    <w:rsid w:val="44565401"/>
    <w:rsid w:val="445C184B"/>
    <w:rsid w:val="445C1F8C"/>
    <w:rsid w:val="445C2CEB"/>
    <w:rsid w:val="44623D2C"/>
    <w:rsid w:val="4469425C"/>
    <w:rsid w:val="446A38D3"/>
    <w:rsid w:val="446C5925"/>
    <w:rsid w:val="44715BA6"/>
    <w:rsid w:val="44744DE1"/>
    <w:rsid w:val="4480267E"/>
    <w:rsid w:val="44813BCD"/>
    <w:rsid w:val="44825908"/>
    <w:rsid w:val="448F333F"/>
    <w:rsid w:val="449A5595"/>
    <w:rsid w:val="44A273D7"/>
    <w:rsid w:val="44A3165A"/>
    <w:rsid w:val="44A472F3"/>
    <w:rsid w:val="44A949BB"/>
    <w:rsid w:val="44B47D28"/>
    <w:rsid w:val="44BE6AFA"/>
    <w:rsid w:val="44BE7B38"/>
    <w:rsid w:val="44C10C52"/>
    <w:rsid w:val="44C4343F"/>
    <w:rsid w:val="44CC5637"/>
    <w:rsid w:val="44CE1860"/>
    <w:rsid w:val="44D01EAB"/>
    <w:rsid w:val="44D61276"/>
    <w:rsid w:val="44D842C0"/>
    <w:rsid w:val="44F05372"/>
    <w:rsid w:val="44F550F4"/>
    <w:rsid w:val="44FB2020"/>
    <w:rsid w:val="450005C9"/>
    <w:rsid w:val="45076069"/>
    <w:rsid w:val="450E225C"/>
    <w:rsid w:val="450E5F3E"/>
    <w:rsid w:val="45156B4C"/>
    <w:rsid w:val="451C3C3F"/>
    <w:rsid w:val="45202195"/>
    <w:rsid w:val="45206477"/>
    <w:rsid w:val="45282E33"/>
    <w:rsid w:val="45343151"/>
    <w:rsid w:val="45361C96"/>
    <w:rsid w:val="45367180"/>
    <w:rsid w:val="453936A0"/>
    <w:rsid w:val="45404081"/>
    <w:rsid w:val="454174EC"/>
    <w:rsid w:val="454B27CA"/>
    <w:rsid w:val="4555071F"/>
    <w:rsid w:val="455B027F"/>
    <w:rsid w:val="45634F36"/>
    <w:rsid w:val="45642839"/>
    <w:rsid w:val="456433C3"/>
    <w:rsid w:val="4566286A"/>
    <w:rsid w:val="456653F0"/>
    <w:rsid w:val="456745BB"/>
    <w:rsid w:val="45677DA7"/>
    <w:rsid w:val="45736E48"/>
    <w:rsid w:val="45743F66"/>
    <w:rsid w:val="45761FD8"/>
    <w:rsid w:val="457B0C49"/>
    <w:rsid w:val="45825E81"/>
    <w:rsid w:val="45864B77"/>
    <w:rsid w:val="458A06CD"/>
    <w:rsid w:val="458D3A63"/>
    <w:rsid w:val="4597177B"/>
    <w:rsid w:val="45A85821"/>
    <w:rsid w:val="45AA0EA4"/>
    <w:rsid w:val="45AC57A6"/>
    <w:rsid w:val="45AF03CF"/>
    <w:rsid w:val="45B23BD8"/>
    <w:rsid w:val="45B31674"/>
    <w:rsid w:val="45B52BBB"/>
    <w:rsid w:val="45C3178B"/>
    <w:rsid w:val="45C56C6C"/>
    <w:rsid w:val="45C67344"/>
    <w:rsid w:val="45C81474"/>
    <w:rsid w:val="45C85D55"/>
    <w:rsid w:val="45C91BC6"/>
    <w:rsid w:val="45CD1312"/>
    <w:rsid w:val="45CE3F02"/>
    <w:rsid w:val="45D15325"/>
    <w:rsid w:val="45DE2684"/>
    <w:rsid w:val="45E349A9"/>
    <w:rsid w:val="45F22D7B"/>
    <w:rsid w:val="45F25B71"/>
    <w:rsid w:val="45F6092A"/>
    <w:rsid w:val="45FD29AC"/>
    <w:rsid w:val="46122C2B"/>
    <w:rsid w:val="461E6998"/>
    <w:rsid w:val="46202725"/>
    <w:rsid w:val="4622618B"/>
    <w:rsid w:val="4624768B"/>
    <w:rsid w:val="46283409"/>
    <w:rsid w:val="462E1DEC"/>
    <w:rsid w:val="462F257F"/>
    <w:rsid w:val="46316796"/>
    <w:rsid w:val="46436765"/>
    <w:rsid w:val="464C35D1"/>
    <w:rsid w:val="464C5980"/>
    <w:rsid w:val="464C598F"/>
    <w:rsid w:val="46541012"/>
    <w:rsid w:val="46595BDC"/>
    <w:rsid w:val="465B04AA"/>
    <w:rsid w:val="466467A4"/>
    <w:rsid w:val="466B7E63"/>
    <w:rsid w:val="46726232"/>
    <w:rsid w:val="46731512"/>
    <w:rsid w:val="46795DED"/>
    <w:rsid w:val="468843FE"/>
    <w:rsid w:val="469849B7"/>
    <w:rsid w:val="46991FD8"/>
    <w:rsid w:val="469D4E61"/>
    <w:rsid w:val="46A36DFD"/>
    <w:rsid w:val="46AF4C2E"/>
    <w:rsid w:val="46BC2272"/>
    <w:rsid w:val="46C45DEE"/>
    <w:rsid w:val="46D62B88"/>
    <w:rsid w:val="46D929E4"/>
    <w:rsid w:val="46DA3CDF"/>
    <w:rsid w:val="46DD3A97"/>
    <w:rsid w:val="46E122D5"/>
    <w:rsid w:val="46E51519"/>
    <w:rsid w:val="46E72217"/>
    <w:rsid w:val="46EB56D0"/>
    <w:rsid w:val="46EF6BE5"/>
    <w:rsid w:val="46F94629"/>
    <w:rsid w:val="46FE33A2"/>
    <w:rsid w:val="47001C0D"/>
    <w:rsid w:val="4700310A"/>
    <w:rsid w:val="47034B98"/>
    <w:rsid w:val="47067487"/>
    <w:rsid w:val="470675DD"/>
    <w:rsid w:val="47102BE0"/>
    <w:rsid w:val="47115999"/>
    <w:rsid w:val="47123D8D"/>
    <w:rsid w:val="471651A2"/>
    <w:rsid w:val="47195C33"/>
    <w:rsid w:val="47200180"/>
    <w:rsid w:val="472322A2"/>
    <w:rsid w:val="472E14A0"/>
    <w:rsid w:val="472F2F47"/>
    <w:rsid w:val="47304A60"/>
    <w:rsid w:val="47321070"/>
    <w:rsid w:val="47383706"/>
    <w:rsid w:val="473F3443"/>
    <w:rsid w:val="47442FEA"/>
    <w:rsid w:val="47476898"/>
    <w:rsid w:val="474825BA"/>
    <w:rsid w:val="474D1ED5"/>
    <w:rsid w:val="47524966"/>
    <w:rsid w:val="475E1AB6"/>
    <w:rsid w:val="4764753D"/>
    <w:rsid w:val="47663624"/>
    <w:rsid w:val="4779594B"/>
    <w:rsid w:val="477E3FE9"/>
    <w:rsid w:val="47861281"/>
    <w:rsid w:val="478E58BD"/>
    <w:rsid w:val="478E7E15"/>
    <w:rsid w:val="47933AFC"/>
    <w:rsid w:val="47946581"/>
    <w:rsid w:val="47997ECC"/>
    <w:rsid w:val="479C04C3"/>
    <w:rsid w:val="47A938A8"/>
    <w:rsid w:val="47AD2393"/>
    <w:rsid w:val="47AF4DB4"/>
    <w:rsid w:val="47C05960"/>
    <w:rsid w:val="47CA211A"/>
    <w:rsid w:val="47CE6AD8"/>
    <w:rsid w:val="47D00B76"/>
    <w:rsid w:val="47D266F4"/>
    <w:rsid w:val="47EB3A88"/>
    <w:rsid w:val="47ED09EA"/>
    <w:rsid w:val="47F03825"/>
    <w:rsid w:val="47F67231"/>
    <w:rsid w:val="47F72583"/>
    <w:rsid w:val="47FE4F97"/>
    <w:rsid w:val="48043BE9"/>
    <w:rsid w:val="48050F31"/>
    <w:rsid w:val="480A49CF"/>
    <w:rsid w:val="480B064E"/>
    <w:rsid w:val="48152A57"/>
    <w:rsid w:val="481B77EC"/>
    <w:rsid w:val="481F00E4"/>
    <w:rsid w:val="48230137"/>
    <w:rsid w:val="482A5E63"/>
    <w:rsid w:val="48324267"/>
    <w:rsid w:val="48357C17"/>
    <w:rsid w:val="483602D1"/>
    <w:rsid w:val="48360F72"/>
    <w:rsid w:val="48466EDC"/>
    <w:rsid w:val="486022F2"/>
    <w:rsid w:val="486505C9"/>
    <w:rsid w:val="48717233"/>
    <w:rsid w:val="487736C7"/>
    <w:rsid w:val="48794416"/>
    <w:rsid w:val="4886149A"/>
    <w:rsid w:val="48870995"/>
    <w:rsid w:val="488933F6"/>
    <w:rsid w:val="488F18B7"/>
    <w:rsid w:val="489C5A7F"/>
    <w:rsid w:val="489C5B95"/>
    <w:rsid w:val="489F248C"/>
    <w:rsid w:val="48A47128"/>
    <w:rsid w:val="48A53F58"/>
    <w:rsid w:val="48AA10E1"/>
    <w:rsid w:val="48AF1323"/>
    <w:rsid w:val="48B010C7"/>
    <w:rsid w:val="48B2080D"/>
    <w:rsid w:val="48B5518F"/>
    <w:rsid w:val="48BA7016"/>
    <w:rsid w:val="48BE6136"/>
    <w:rsid w:val="48C17060"/>
    <w:rsid w:val="48D22DB3"/>
    <w:rsid w:val="48D93445"/>
    <w:rsid w:val="48D9627C"/>
    <w:rsid w:val="48DA1D9C"/>
    <w:rsid w:val="48DC218D"/>
    <w:rsid w:val="48DF3D7D"/>
    <w:rsid w:val="48DF3DBB"/>
    <w:rsid w:val="48E4725A"/>
    <w:rsid w:val="48E90615"/>
    <w:rsid w:val="48E915DE"/>
    <w:rsid w:val="48EB611E"/>
    <w:rsid w:val="48F7177C"/>
    <w:rsid w:val="48F9720D"/>
    <w:rsid w:val="490008E6"/>
    <w:rsid w:val="490425AB"/>
    <w:rsid w:val="49047124"/>
    <w:rsid w:val="49076238"/>
    <w:rsid w:val="49104838"/>
    <w:rsid w:val="49200C47"/>
    <w:rsid w:val="49250443"/>
    <w:rsid w:val="49267368"/>
    <w:rsid w:val="49276313"/>
    <w:rsid w:val="492F1B04"/>
    <w:rsid w:val="492F25A6"/>
    <w:rsid w:val="4930158D"/>
    <w:rsid w:val="493166F2"/>
    <w:rsid w:val="493E2578"/>
    <w:rsid w:val="4941564C"/>
    <w:rsid w:val="4943084D"/>
    <w:rsid w:val="495B2F5A"/>
    <w:rsid w:val="49660B64"/>
    <w:rsid w:val="496E056A"/>
    <w:rsid w:val="497930F9"/>
    <w:rsid w:val="497E5F0E"/>
    <w:rsid w:val="49863345"/>
    <w:rsid w:val="49895BF9"/>
    <w:rsid w:val="49896889"/>
    <w:rsid w:val="498B006E"/>
    <w:rsid w:val="498F2FB2"/>
    <w:rsid w:val="499C126E"/>
    <w:rsid w:val="49A20032"/>
    <w:rsid w:val="49A82756"/>
    <w:rsid w:val="49A86BF4"/>
    <w:rsid w:val="49A902DE"/>
    <w:rsid w:val="49A961CD"/>
    <w:rsid w:val="49B31A93"/>
    <w:rsid w:val="49B337E8"/>
    <w:rsid w:val="49B57903"/>
    <w:rsid w:val="49BB0B72"/>
    <w:rsid w:val="49BD536F"/>
    <w:rsid w:val="49CD3C98"/>
    <w:rsid w:val="49D903D2"/>
    <w:rsid w:val="49E27CCF"/>
    <w:rsid w:val="49F44446"/>
    <w:rsid w:val="49F543E3"/>
    <w:rsid w:val="49FA00AE"/>
    <w:rsid w:val="4A03365C"/>
    <w:rsid w:val="4A037F7B"/>
    <w:rsid w:val="4A0C3345"/>
    <w:rsid w:val="4A12511A"/>
    <w:rsid w:val="4A1C6B3C"/>
    <w:rsid w:val="4A272B59"/>
    <w:rsid w:val="4A2A339F"/>
    <w:rsid w:val="4A2A4742"/>
    <w:rsid w:val="4A3849A0"/>
    <w:rsid w:val="4A3B0ADD"/>
    <w:rsid w:val="4A3D1213"/>
    <w:rsid w:val="4A405618"/>
    <w:rsid w:val="4A42752E"/>
    <w:rsid w:val="4A463FDD"/>
    <w:rsid w:val="4A4D2C8C"/>
    <w:rsid w:val="4A4D6FE1"/>
    <w:rsid w:val="4A4F464E"/>
    <w:rsid w:val="4A500FF5"/>
    <w:rsid w:val="4A51053D"/>
    <w:rsid w:val="4A541B9F"/>
    <w:rsid w:val="4A565C2E"/>
    <w:rsid w:val="4A5B2412"/>
    <w:rsid w:val="4A603371"/>
    <w:rsid w:val="4A665A8F"/>
    <w:rsid w:val="4A6B6C00"/>
    <w:rsid w:val="4A7A1A7F"/>
    <w:rsid w:val="4A7B1C95"/>
    <w:rsid w:val="4A7C6D92"/>
    <w:rsid w:val="4A80680F"/>
    <w:rsid w:val="4A8141FB"/>
    <w:rsid w:val="4A8758F1"/>
    <w:rsid w:val="4A8B2BFF"/>
    <w:rsid w:val="4A8B46F9"/>
    <w:rsid w:val="4A8C3D45"/>
    <w:rsid w:val="4A923316"/>
    <w:rsid w:val="4A996D58"/>
    <w:rsid w:val="4A9D364F"/>
    <w:rsid w:val="4AA637CE"/>
    <w:rsid w:val="4AAA2363"/>
    <w:rsid w:val="4AAC0232"/>
    <w:rsid w:val="4AB420A2"/>
    <w:rsid w:val="4AB42562"/>
    <w:rsid w:val="4AB971E8"/>
    <w:rsid w:val="4ABC4127"/>
    <w:rsid w:val="4ABE3518"/>
    <w:rsid w:val="4AC14B57"/>
    <w:rsid w:val="4AC462B3"/>
    <w:rsid w:val="4AC908CA"/>
    <w:rsid w:val="4AC95E08"/>
    <w:rsid w:val="4ACC60F1"/>
    <w:rsid w:val="4ACE3D63"/>
    <w:rsid w:val="4AD13FBF"/>
    <w:rsid w:val="4AD37FB6"/>
    <w:rsid w:val="4AED546D"/>
    <w:rsid w:val="4AF15169"/>
    <w:rsid w:val="4AF33411"/>
    <w:rsid w:val="4AFC4739"/>
    <w:rsid w:val="4AFF7966"/>
    <w:rsid w:val="4B08211A"/>
    <w:rsid w:val="4B0F4D9F"/>
    <w:rsid w:val="4B0F7B33"/>
    <w:rsid w:val="4B154062"/>
    <w:rsid w:val="4B1C2009"/>
    <w:rsid w:val="4B2B654D"/>
    <w:rsid w:val="4B2D2A9B"/>
    <w:rsid w:val="4B313BE7"/>
    <w:rsid w:val="4B331125"/>
    <w:rsid w:val="4B3405F9"/>
    <w:rsid w:val="4B3B6A66"/>
    <w:rsid w:val="4B3F276A"/>
    <w:rsid w:val="4B425A4D"/>
    <w:rsid w:val="4B473804"/>
    <w:rsid w:val="4B5151AA"/>
    <w:rsid w:val="4B537CBF"/>
    <w:rsid w:val="4B545E28"/>
    <w:rsid w:val="4B550153"/>
    <w:rsid w:val="4B625E90"/>
    <w:rsid w:val="4B641191"/>
    <w:rsid w:val="4B694B3A"/>
    <w:rsid w:val="4B730932"/>
    <w:rsid w:val="4B76529F"/>
    <w:rsid w:val="4B797876"/>
    <w:rsid w:val="4B7A237E"/>
    <w:rsid w:val="4B815FB3"/>
    <w:rsid w:val="4B86443F"/>
    <w:rsid w:val="4B9A0C4D"/>
    <w:rsid w:val="4B9B3B70"/>
    <w:rsid w:val="4B9E74F5"/>
    <w:rsid w:val="4B9E7936"/>
    <w:rsid w:val="4BA62ACE"/>
    <w:rsid w:val="4BAC176A"/>
    <w:rsid w:val="4BAF7A14"/>
    <w:rsid w:val="4BB7667A"/>
    <w:rsid w:val="4BBA25CD"/>
    <w:rsid w:val="4BBB242F"/>
    <w:rsid w:val="4BBB66CC"/>
    <w:rsid w:val="4BC15B7C"/>
    <w:rsid w:val="4BC22308"/>
    <w:rsid w:val="4BCC5B3C"/>
    <w:rsid w:val="4BD06F1C"/>
    <w:rsid w:val="4BD119E3"/>
    <w:rsid w:val="4BD11B2A"/>
    <w:rsid w:val="4BD13574"/>
    <w:rsid w:val="4BD47BEF"/>
    <w:rsid w:val="4BDA74DE"/>
    <w:rsid w:val="4BE06BCD"/>
    <w:rsid w:val="4BE413D6"/>
    <w:rsid w:val="4BE86538"/>
    <w:rsid w:val="4C001FDF"/>
    <w:rsid w:val="4C040A9A"/>
    <w:rsid w:val="4C0770C1"/>
    <w:rsid w:val="4C1F0776"/>
    <w:rsid w:val="4C232063"/>
    <w:rsid w:val="4C2503E2"/>
    <w:rsid w:val="4C2C299D"/>
    <w:rsid w:val="4C322608"/>
    <w:rsid w:val="4C3238CA"/>
    <w:rsid w:val="4C343A7F"/>
    <w:rsid w:val="4C3449FC"/>
    <w:rsid w:val="4C380D78"/>
    <w:rsid w:val="4C3D0756"/>
    <w:rsid w:val="4C3D5FB7"/>
    <w:rsid w:val="4C463137"/>
    <w:rsid w:val="4C4C1686"/>
    <w:rsid w:val="4C513E4B"/>
    <w:rsid w:val="4C542E8F"/>
    <w:rsid w:val="4C603F1D"/>
    <w:rsid w:val="4C6211EA"/>
    <w:rsid w:val="4C635D18"/>
    <w:rsid w:val="4C670EB1"/>
    <w:rsid w:val="4C712086"/>
    <w:rsid w:val="4C7120EC"/>
    <w:rsid w:val="4C7B3D80"/>
    <w:rsid w:val="4C7C605E"/>
    <w:rsid w:val="4C7E2355"/>
    <w:rsid w:val="4C847264"/>
    <w:rsid w:val="4C922A6A"/>
    <w:rsid w:val="4C970E7B"/>
    <w:rsid w:val="4CA371A5"/>
    <w:rsid w:val="4CC1054F"/>
    <w:rsid w:val="4CCB1948"/>
    <w:rsid w:val="4CCE079D"/>
    <w:rsid w:val="4CCE3699"/>
    <w:rsid w:val="4CEA4F4D"/>
    <w:rsid w:val="4CEC58DB"/>
    <w:rsid w:val="4CED4981"/>
    <w:rsid w:val="4CEF637A"/>
    <w:rsid w:val="4CF00FB6"/>
    <w:rsid w:val="4CF16277"/>
    <w:rsid w:val="4CF4672D"/>
    <w:rsid w:val="4CFA2AAF"/>
    <w:rsid w:val="4CFE26B6"/>
    <w:rsid w:val="4D0325CF"/>
    <w:rsid w:val="4D035A68"/>
    <w:rsid w:val="4D0F26CE"/>
    <w:rsid w:val="4D147026"/>
    <w:rsid w:val="4D1478EC"/>
    <w:rsid w:val="4D165C91"/>
    <w:rsid w:val="4D225412"/>
    <w:rsid w:val="4D235945"/>
    <w:rsid w:val="4D255F0E"/>
    <w:rsid w:val="4D2B263E"/>
    <w:rsid w:val="4D2D15D1"/>
    <w:rsid w:val="4D2F06BA"/>
    <w:rsid w:val="4D304130"/>
    <w:rsid w:val="4D386B0D"/>
    <w:rsid w:val="4D3B3869"/>
    <w:rsid w:val="4D4330D3"/>
    <w:rsid w:val="4D4B7DCE"/>
    <w:rsid w:val="4D545407"/>
    <w:rsid w:val="4D694F30"/>
    <w:rsid w:val="4D6B703C"/>
    <w:rsid w:val="4D717BA1"/>
    <w:rsid w:val="4D7F56C3"/>
    <w:rsid w:val="4D855FB9"/>
    <w:rsid w:val="4D8A0B26"/>
    <w:rsid w:val="4D904FEE"/>
    <w:rsid w:val="4D910D8A"/>
    <w:rsid w:val="4D935425"/>
    <w:rsid w:val="4D953CDB"/>
    <w:rsid w:val="4D97309D"/>
    <w:rsid w:val="4D9B559E"/>
    <w:rsid w:val="4D9E090F"/>
    <w:rsid w:val="4DAC6E91"/>
    <w:rsid w:val="4DAE3711"/>
    <w:rsid w:val="4DB63BC4"/>
    <w:rsid w:val="4DB7591C"/>
    <w:rsid w:val="4DBB2984"/>
    <w:rsid w:val="4DCC46DA"/>
    <w:rsid w:val="4DDD5EB7"/>
    <w:rsid w:val="4DDE45A5"/>
    <w:rsid w:val="4DE265E9"/>
    <w:rsid w:val="4DE5023D"/>
    <w:rsid w:val="4DEB419D"/>
    <w:rsid w:val="4DF267CF"/>
    <w:rsid w:val="4DF6484E"/>
    <w:rsid w:val="4E043A0E"/>
    <w:rsid w:val="4E0B5D31"/>
    <w:rsid w:val="4E125681"/>
    <w:rsid w:val="4E1339D8"/>
    <w:rsid w:val="4E145C86"/>
    <w:rsid w:val="4E187CF8"/>
    <w:rsid w:val="4E1A5C2E"/>
    <w:rsid w:val="4E1D303B"/>
    <w:rsid w:val="4E2B3781"/>
    <w:rsid w:val="4E2B74D5"/>
    <w:rsid w:val="4E304710"/>
    <w:rsid w:val="4E337E4B"/>
    <w:rsid w:val="4E365771"/>
    <w:rsid w:val="4E3C3064"/>
    <w:rsid w:val="4E3C5DC0"/>
    <w:rsid w:val="4E446F8B"/>
    <w:rsid w:val="4E4D4DE2"/>
    <w:rsid w:val="4E5669BF"/>
    <w:rsid w:val="4E651EA6"/>
    <w:rsid w:val="4E6757B0"/>
    <w:rsid w:val="4E6C4048"/>
    <w:rsid w:val="4E783D17"/>
    <w:rsid w:val="4E7F2A80"/>
    <w:rsid w:val="4E805C19"/>
    <w:rsid w:val="4E836C4E"/>
    <w:rsid w:val="4E865BCD"/>
    <w:rsid w:val="4E8A6771"/>
    <w:rsid w:val="4E957162"/>
    <w:rsid w:val="4E9E60B6"/>
    <w:rsid w:val="4EA27ACB"/>
    <w:rsid w:val="4EA449D7"/>
    <w:rsid w:val="4EA60E85"/>
    <w:rsid w:val="4EA753EE"/>
    <w:rsid w:val="4EAE3E03"/>
    <w:rsid w:val="4EB379F2"/>
    <w:rsid w:val="4EB838E0"/>
    <w:rsid w:val="4EBC3167"/>
    <w:rsid w:val="4EBC6632"/>
    <w:rsid w:val="4EBD4562"/>
    <w:rsid w:val="4EBD5620"/>
    <w:rsid w:val="4EBE0F4C"/>
    <w:rsid w:val="4EC258F4"/>
    <w:rsid w:val="4EC866B8"/>
    <w:rsid w:val="4ECD0F14"/>
    <w:rsid w:val="4ED017E4"/>
    <w:rsid w:val="4ED03B4F"/>
    <w:rsid w:val="4ED43AE8"/>
    <w:rsid w:val="4EDC1716"/>
    <w:rsid w:val="4EDF6F4B"/>
    <w:rsid w:val="4EE24F10"/>
    <w:rsid w:val="4EE77077"/>
    <w:rsid w:val="4EE8461F"/>
    <w:rsid w:val="4F0206C2"/>
    <w:rsid w:val="4F06414B"/>
    <w:rsid w:val="4F19542F"/>
    <w:rsid w:val="4F1A4FD6"/>
    <w:rsid w:val="4F1C2B4C"/>
    <w:rsid w:val="4F1E1A5A"/>
    <w:rsid w:val="4F2D5479"/>
    <w:rsid w:val="4F2E4FDB"/>
    <w:rsid w:val="4F3127D8"/>
    <w:rsid w:val="4F353521"/>
    <w:rsid w:val="4F3B798B"/>
    <w:rsid w:val="4F424396"/>
    <w:rsid w:val="4F461737"/>
    <w:rsid w:val="4F4937A7"/>
    <w:rsid w:val="4F4A044C"/>
    <w:rsid w:val="4F501AA5"/>
    <w:rsid w:val="4F507138"/>
    <w:rsid w:val="4F5431F2"/>
    <w:rsid w:val="4F594949"/>
    <w:rsid w:val="4F5A315B"/>
    <w:rsid w:val="4F664358"/>
    <w:rsid w:val="4F664D4A"/>
    <w:rsid w:val="4F701C5E"/>
    <w:rsid w:val="4F7041A7"/>
    <w:rsid w:val="4F7349ED"/>
    <w:rsid w:val="4F7C7D62"/>
    <w:rsid w:val="4F8366CD"/>
    <w:rsid w:val="4F88390E"/>
    <w:rsid w:val="4F8865D2"/>
    <w:rsid w:val="4F9102E3"/>
    <w:rsid w:val="4F9A400D"/>
    <w:rsid w:val="4FA11827"/>
    <w:rsid w:val="4FA43120"/>
    <w:rsid w:val="4FA57761"/>
    <w:rsid w:val="4FA82F77"/>
    <w:rsid w:val="4FAB07C1"/>
    <w:rsid w:val="4FC12B67"/>
    <w:rsid w:val="4FC87D84"/>
    <w:rsid w:val="4FD33643"/>
    <w:rsid w:val="4FD409F7"/>
    <w:rsid w:val="4FD41054"/>
    <w:rsid w:val="4FD66F8D"/>
    <w:rsid w:val="4FDB5605"/>
    <w:rsid w:val="4FDF7D08"/>
    <w:rsid w:val="4FE45662"/>
    <w:rsid w:val="4FE66728"/>
    <w:rsid w:val="4FE74DC2"/>
    <w:rsid w:val="4FF81090"/>
    <w:rsid w:val="4FFA1BE3"/>
    <w:rsid w:val="4FFF560B"/>
    <w:rsid w:val="50001B8C"/>
    <w:rsid w:val="50033BDE"/>
    <w:rsid w:val="50036BC4"/>
    <w:rsid w:val="500B0DCA"/>
    <w:rsid w:val="500C2A95"/>
    <w:rsid w:val="50133F8A"/>
    <w:rsid w:val="50140C07"/>
    <w:rsid w:val="50176E6F"/>
    <w:rsid w:val="50200664"/>
    <w:rsid w:val="502151EE"/>
    <w:rsid w:val="5022333C"/>
    <w:rsid w:val="50312196"/>
    <w:rsid w:val="503C506C"/>
    <w:rsid w:val="50417E32"/>
    <w:rsid w:val="5042052F"/>
    <w:rsid w:val="504768E3"/>
    <w:rsid w:val="504F0FB9"/>
    <w:rsid w:val="504F769B"/>
    <w:rsid w:val="50537FDD"/>
    <w:rsid w:val="50622728"/>
    <w:rsid w:val="507554C6"/>
    <w:rsid w:val="507D0063"/>
    <w:rsid w:val="50803340"/>
    <w:rsid w:val="50871317"/>
    <w:rsid w:val="508F1D63"/>
    <w:rsid w:val="508F6AC4"/>
    <w:rsid w:val="509631CF"/>
    <w:rsid w:val="509A55F2"/>
    <w:rsid w:val="509B6BFA"/>
    <w:rsid w:val="50A36924"/>
    <w:rsid w:val="50A732FC"/>
    <w:rsid w:val="50AA341E"/>
    <w:rsid w:val="50AB4E2F"/>
    <w:rsid w:val="50AC2418"/>
    <w:rsid w:val="50B421A0"/>
    <w:rsid w:val="50B70FED"/>
    <w:rsid w:val="50BA643F"/>
    <w:rsid w:val="50BC2897"/>
    <w:rsid w:val="50D2215B"/>
    <w:rsid w:val="50DA2205"/>
    <w:rsid w:val="50E57F59"/>
    <w:rsid w:val="50EA61D3"/>
    <w:rsid w:val="50FC41E2"/>
    <w:rsid w:val="510319B4"/>
    <w:rsid w:val="5109098F"/>
    <w:rsid w:val="510A4E7D"/>
    <w:rsid w:val="51187091"/>
    <w:rsid w:val="51190722"/>
    <w:rsid w:val="511E5EB5"/>
    <w:rsid w:val="51205217"/>
    <w:rsid w:val="51217565"/>
    <w:rsid w:val="512D5787"/>
    <w:rsid w:val="51371434"/>
    <w:rsid w:val="51382F84"/>
    <w:rsid w:val="513B4CBD"/>
    <w:rsid w:val="513F2A79"/>
    <w:rsid w:val="514E5DF0"/>
    <w:rsid w:val="51505C49"/>
    <w:rsid w:val="515F5290"/>
    <w:rsid w:val="515F5E7D"/>
    <w:rsid w:val="51621B03"/>
    <w:rsid w:val="51677ABF"/>
    <w:rsid w:val="51736010"/>
    <w:rsid w:val="517F4109"/>
    <w:rsid w:val="518140E8"/>
    <w:rsid w:val="518961AE"/>
    <w:rsid w:val="518B0D8B"/>
    <w:rsid w:val="51905BB3"/>
    <w:rsid w:val="519D2A82"/>
    <w:rsid w:val="519E4C2D"/>
    <w:rsid w:val="51A15787"/>
    <w:rsid w:val="51A23180"/>
    <w:rsid w:val="51A44533"/>
    <w:rsid w:val="51B12C2B"/>
    <w:rsid w:val="51B625E5"/>
    <w:rsid w:val="51BB3190"/>
    <w:rsid w:val="51C31AB3"/>
    <w:rsid w:val="51C50057"/>
    <w:rsid w:val="51C83A24"/>
    <w:rsid w:val="51CA6470"/>
    <w:rsid w:val="51CC0195"/>
    <w:rsid w:val="51CF3752"/>
    <w:rsid w:val="51D221A2"/>
    <w:rsid w:val="51DB590D"/>
    <w:rsid w:val="51DC7D4F"/>
    <w:rsid w:val="51E372D3"/>
    <w:rsid w:val="51E952C3"/>
    <w:rsid w:val="51F763C2"/>
    <w:rsid w:val="52082F0E"/>
    <w:rsid w:val="520A4FD4"/>
    <w:rsid w:val="520A6A40"/>
    <w:rsid w:val="520B29B2"/>
    <w:rsid w:val="52165ED6"/>
    <w:rsid w:val="52170D68"/>
    <w:rsid w:val="521752D9"/>
    <w:rsid w:val="521832FA"/>
    <w:rsid w:val="521B5CF1"/>
    <w:rsid w:val="521E330E"/>
    <w:rsid w:val="52210969"/>
    <w:rsid w:val="5224158C"/>
    <w:rsid w:val="52250331"/>
    <w:rsid w:val="52251937"/>
    <w:rsid w:val="52291DE3"/>
    <w:rsid w:val="522D32DC"/>
    <w:rsid w:val="522E032A"/>
    <w:rsid w:val="522E48FA"/>
    <w:rsid w:val="52436B21"/>
    <w:rsid w:val="52476CBE"/>
    <w:rsid w:val="52486521"/>
    <w:rsid w:val="52541687"/>
    <w:rsid w:val="525808AD"/>
    <w:rsid w:val="52606B21"/>
    <w:rsid w:val="526142ED"/>
    <w:rsid w:val="5261554B"/>
    <w:rsid w:val="52675267"/>
    <w:rsid w:val="526A42D2"/>
    <w:rsid w:val="527456A0"/>
    <w:rsid w:val="52775B19"/>
    <w:rsid w:val="527820D3"/>
    <w:rsid w:val="527925C0"/>
    <w:rsid w:val="5286536B"/>
    <w:rsid w:val="528D1636"/>
    <w:rsid w:val="528F6528"/>
    <w:rsid w:val="52927920"/>
    <w:rsid w:val="5294173C"/>
    <w:rsid w:val="52A573D4"/>
    <w:rsid w:val="52AE3C1C"/>
    <w:rsid w:val="52B15A0B"/>
    <w:rsid w:val="52B277B6"/>
    <w:rsid w:val="52B539F6"/>
    <w:rsid w:val="52B87EDF"/>
    <w:rsid w:val="52C2471F"/>
    <w:rsid w:val="52C2744F"/>
    <w:rsid w:val="52CF2A7E"/>
    <w:rsid w:val="52D52D8A"/>
    <w:rsid w:val="52D70C29"/>
    <w:rsid w:val="52E07E6E"/>
    <w:rsid w:val="52E2403D"/>
    <w:rsid w:val="52E87FC9"/>
    <w:rsid w:val="52EA3010"/>
    <w:rsid w:val="52EE6354"/>
    <w:rsid w:val="52EF275D"/>
    <w:rsid w:val="52F87188"/>
    <w:rsid w:val="53035F10"/>
    <w:rsid w:val="530445BC"/>
    <w:rsid w:val="530646FD"/>
    <w:rsid w:val="53073E74"/>
    <w:rsid w:val="53130812"/>
    <w:rsid w:val="53176C42"/>
    <w:rsid w:val="53184746"/>
    <w:rsid w:val="531972CB"/>
    <w:rsid w:val="53227F73"/>
    <w:rsid w:val="532342A1"/>
    <w:rsid w:val="532E4AC7"/>
    <w:rsid w:val="533E55DF"/>
    <w:rsid w:val="5360600D"/>
    <w:rsid w:val="53703765"/>
    <w:rsid w:val="537149ED"/>
    <w:rsid w:val="5376095E"/>
    <w:rsid w:val="537A04E8"/>
    <w:rsid w:val="537D7719"/>
    <w:rsid w:val="53874180"/>
    <w:rsid w:val="53910730"/>
    <w:rsid w:val="53991F46"/>
    <w:rsid w:val="539D00C0"/>
    <w:rsid w:val="53A34926"/>
    <w:rsid w:val="53A430C7"/>
    <w:rsid w:val="53B10861"/>
    <w:rsid w:val="53B71A0D"/>
    <w:rsid w:val="53BA49C0"/>
    <w:rsid w:val="53BF11FF"/>
    <w:rsid w:val="53C2398F"/>
    <w:rsid w:val="53C92C10"/>
    <w:rsid w:val="53CF606A"/>
    <w:rsid w:val="53D111B0"/>
    <w:rsid w:val="53D73576"/>
    <w:rsid w:val="53E22364"/>
    <w:rsid w:val="53E35749"/>
    <w:rsid w:val="53EB4289"/>
    <w:rsid w:val="53EE07E8"/>
    <w:rsid w:val="53F67F24"/>
    <w:rsid w:val="53FE5A9E"/>
    <w:rsid w:val="540B221A"/>
    <w:rsid w:val="54193A5D"/>
    <w:rsid w:val="541C5A78"/>
    <w:rsid w:val="54210A3D"/>
    <w:rsid w:val="54257FE2"/>
    <w:rsid w:val="5428581F"/>
    <w:rsid w:val="542A7306"/>
    <w:rsid w:val="542B47E5"/>
    <w:rsid w:val="54312A0A"/>
    <w:rsid w:val="54451C08"/>
    <w:rsid w:val="54456D76"/>
    <w:rsid w:val="5450152B"/>
    <w:rsid w:val="545412A1"/>
    <w:rsid w:val="54591BCD"/>
    <w:rsid w:val="545A1A3D"/>
    <w:rsid w:val="546936FE"/>
    <w:rsid w:val="546A602B"/>
    <w:rsid w:val="547034CA"/>
    <w:rsid w:val="54724933"/>
    <w:rsid w:val="547801F9"/>
    <w:rsid w:val="54877824"/>
    <w:rsid w:val="54967702"/>
    <w:rsid w:val="549B60CA"/>
    <w:rsid w:val="54A746D1"/>
    <w:rsid w:val="54B14984"/>
    <w:rsid w:val="54B34E33"/>
    <w:rsid w:val="54BC09E2"/>
    <w:rsid w:val="54C257FC"/>
    <w:rsid w:val="54C51C65"/>
    <w:rsid w:val="54C649FB"/>
    <w:rsid w:val="54C766D3"/>
    <w:rsid w:val="54DB3842"/>
    <w:rsid w:val="54DB74B3"/>
    <w:rsid w:val="54DF4A41"/>
    <w:rsid w:val="54E32310"/>
    <w:rsid w:val="54E35B83"/>
    <w:rsid w:val="54E5570D"/>
    <w:rsid w:val="54E656A9"/>
    <w:rsid w:val="54E85406"/>
    <w:rsid w:val="54EE0227"/>
    <w:rsid w:val="54EE4DEC"/>
    <w:rsid w:val="54F1490A"/>
    <w:rsid w:val="54F93AE7"/>
    <w:rsid w:val="54F97DEB"/>
    <w:rsid w:val="5500459A"/>
    <w:rsid w:val="55012EF3"/>
    <w:rsid w:val="55022588"/>
    <w:rsid w:val="5507319C"/>
    <w:rsid w:val="550D4E7F"/>
    <w:rsid w:val="55147F46"/>
    <w:rsid w:val="55197706"/>
    <w:rsid w:val="551B3ADB"/>
    <w:rsid w:val="551F7D03"/>
    <w:rsid w:val="55252910"/>
    <w:rsid w:val="552677BE"/>
    <w:rsid w:val="552E2F45"/>
    <w:rsid w:val="55313992"/>
    <w:rsid w:val="553772EA"/>
    <w:rsid w:val="553A6D2E"/>
    <w:rsid w:val="5546635B"/>
    <w:rsid w:val="55507B46"/>
    <w:rsid w:val="55534568"/>
    <w:rsid w:val="555A0EDC"/>
    <w:rsid w:val="55677E49"/>
    <w:rsid w:val="55692EAC"/>
    <w:rsid w:val="55714147"/>
    <w:rsid w:val="55744904"/>
    <w:rsid w:val="557C295E"/>
    <w:rsid w:val="557C5B0B"/>
    <w:rsid w:val="55806AF4"/>
    <w:rsid w:val="55812735"/>
    <w:rsid w:val="55861EC8"/>
    <w:rsid w:val="5588140B"/>
    <w:rsid w:val="55891D85"/>
    <w:rsid w:val="5592013C"/>
    <w:rsid w:val="55A445F2"/>
    <w:rsid w:val="55A57957"/>
    <w:rsid w:val="55AA469C"/>
    <w:rsid w:val="55BC12E8"/>
    <w:rsid w:val="55BD3120"/>
    <w:rsid w:val="55BF56EA"/>
    <w:rsid w:val="55C103AC"/>
    <w:rsid w:val="55C423B5"/>
    <w:rsid w:val="55C6074D"/>
    <w:rsid w:val="55C86079"/>
    <w:rsid w:val="55CA75BB"/>
    <w:rsid w:val="55CC5297"/>
    <w:rsid w:val="55D31938"/>
    <w:rsid w:val="55DA77E0"/>
    <w:rsid w:val="55EE6E58"/>
    <w:rsid w:val="55F2238E"/>
    <w:rsid w:val="55F24132"/>
    <w:rsid w:val="55FB05FF"/>
    <w:rsid w:val="55FC794D"/>
    <w:rsid w:val="56012A7B"/>
    <w:rsid w:val="56150744"/>
    <w:rsid w:val="56172C84"/>
    <w:rsid w:val="56206259"/>
    <w:rsid w:val="562219AC"/>
    <w:rsid w:val="56230DC5"/>
    <w:rsid w:val="562B59B0"/>
    <w:rsid w:val="562B64D0"/>
    <w:rsid w:val="56351882"/>
    <w:rsid w:val="56387876"/>
    <w:rsid w:val="56391384"/>
    <w:rsid w:val="563F06E3"/>
    <w:rsid w:val="564C27AB"/>
    <w:rsid w:val="565078DE"/>
    <w:rsid w:val="565222DD"/>
    <w:rsid w:val="565907FF"/>
    <w:rsid w:val="565D6940"/>
    <w:rsid w:val="566101A8"/>
    <w:rsid w:val="56666AC5"/>
    <w:rsid w:val="56701442"/>
    <w:rsid w:val="56793306"/>
    <w:rsid w:val="56797C74"/>
    <w:rsid w:val="568116C5"/>
    <w:rsid w:val="568630E0"/>
    <w:rsid w:val="568F0B4D"/>
    <w:rsid w:val="5691640E"/>
    <w:rsid w:val="56927F4A"/>
    <w:rsid w:val="569C03A7"/>
    <w:rsid w:val="569E53D6"/>
    <w:rsid w:val="56A304C3"/>
    <w:rsid w:val="56AD16B1"/>
    <w:rsid w:val="56B44FF7"/>
    <w:rsid w:val="56B76AF7"/>
    <w:rsid w:val="56BA0EDB"/>
    <w:rsid w:val="56BA5BFC"/>
    <w:rsid w:val="56C6377A"/>
    <w:rsid w:val="56D60D34"/>
    <w:rsid w:val="56D76BB3"/>
    <w:rsid w:val="56DA1A1C"/>
    <w:rsid w:val="56E90EF6"/>
    <w:rsid w:val="56F50794"/>
    <w:rsid w:val="56F82259"/>
    <w:rsid w:val="56FC12BF"/>
    <w:rsid w:val="56FE5AE3"/>
    <w:rsid w:val="570255BE"/>
    <w:rsid w:val="570426CC"/>
    <w:rsid w:val="57100D05"/>
    <w:rsid w:val="57100E69"/>
    <w:rsid w:val="57103E85"/>
    <w:rsid w:val="57167A78"/>
    <w:rsid w:val="571E4103"/>
    <w:rsid w:val="5724356E"/>
    <w:rsid w:val="573B1E04"/>
    <w:rsid w:val="573B396A"/>
    <w:rsid w:val="576019A8"/>
    <w:rsid w:val="576E1A2E"/>
    <w:rsid w:val="576F00D0"/>
    <w:rsid w:val="57780B15"/>
    <w:rsid w:val="577C7921"/>
    <w:rsid w:val="577D6052"/>
    <w:rsid w:val="578130EB"/>
    <w:rsid w:val="5781472D"/>
    <w:rsid w:val="57842581"/>
    <w:rsid w:val="57860B1C"/>
    <w:rsid w:val="578F1CC6"/>
    <w:rsid w:val="579016BB"/>
    <w:rsid w:val="579131AA"/>
    <w:rsid w:val="57961B8E"/>
    <w:rsid w:val="579A34FF"/>
    <w:rsid w:val="57A05D52"/>
    <w:rsid w:val="57A65B21"/>
    <w:rsid w:val="57A93B1C"/>
    <w:rsid w:val="57AC3C72"/>
    <w:rsid w:val="57AC71EF"/>
    <w:rsid w:val="57B30CCB"/>
    <w:rsid w:val="57B82FE8"/>
    <w:rsid w:val="57BA183B"/>
    <w:rsid w:val="57BC21E8"/>
    <w:rsid w:val="57C563BF"/>
    <w:rsid w:val="57C64CE3"/>
    <w:rsid w:val="57CF1AC2"/>
    <w:rsid w:val="57CF411E"/>
    <w:rsid w:val="57CF6469"/>
    <w:rsid w:val="57D20F94"/>
    <w:rsid w:val="57E359C9"/>
    <w:rsid w:val="57E62EFD"/>
    <w:rsid w:val="57E8494C"/>
    <w:rsid w:val="57EA66DC"/>
    <w:rsid w:val="57F75230"/>
    <w:rsid w:val="57FA5E75"/>
    <w:rsid w:val="58000E35"/>
    <w:rsid w:val="58186CE6"/>
    <w:rsid w:val="58222E9F"/>
    <w:rsid w:val="58251D17"/>
    <w:rsid w:val="582D3231"/>
    <w:rsid w:val="58316A55"/>
    <w:rsid w:val="58327850"/>
    <w:rsid w:val="583F3207"/>
    <w:rsid w:val="58452DB9"/>
    <w:rsid w:val="5846017C"/>
    <w:rsid w:val="58484E27"/>
    <w:rsid w:val="58514B7B"/>
    <w:rsid w:val="58525C17"/>
    <w:rsid w:val="58592455"/>
    <w:rsid w:val="586815ED"/>
    <w:rsid w:val="586B3009"/>
    <w:rsid w:val="58775EED"/>
    <w:rsid w:val="58790B5B"/>
    <w:rsid w:val="588D7FDD"/>
    <w:rsid w:val="58924ECC"/>
    <w:rsid w:val="589511CE"/>
    <w:rsid w:val="5895256C"/>
    <w:rsid w:val="58965AA7"/>
    <w:rsid w:val="5899451C"/>
    <w:rsid w:val="589C6409"/>
    <w:rsid w:val="589D4D39"/>
    <w:rsid w:val="58A34E0C"/>
    <w:rsid w:val="58AE31F5"/>
    <w:rsid w:val="58B354B8"/>
    <w:rsid w:val="58B545E6"/>
    <w:rsid w:val="58B60FB7"/>
    <w:rsid w:val="58BB01CF"/>
    <w:rsid w:val="58BD1D42"/>
    <w:rsid w:val="58C04526"/>
    <w:rsid w:val="58C15643"/>
    <w:rsid w:val="58C25B98"/>
    <w:rsid w:val="58C925C7"/>
    <w:rsid w:val="58D215DA"/>
    <w:rsid w:val="58DE296B"/>
    <w:rsid w:val="58E05B85"/>
    <w:rsid w:val="58F141D6"/>
    <w:rsid w:val="58F9654F"/>
    <w:rsid w:val="58F979E8"/>
    <w:rsid w:val="58FB6C25"/>
    <w:rsid w:val="58FE08ED"/>
    <w:rsid w:val="59061DAE"/>
    <w:rsid w:val="590C2CEF"/>
    <w:rsid w:val="590E4EED"/>
    <w:rsid w:val="5914669F"/>
    <w:rsid w:val="591557DB"/>
    <w:rsid w:val="591A5C30"/>
    <w:rsid w:val="591C4B79"/>
    <w:rsid w:val="591F2957"/>
    <w:rsid w:val="59262A74"/>
    <w:rsid w:val="592F1CE2"/>
    <w:rsid w:val="59371CA9"/>
    <w:rsid w:val="593C5853"/>
    <w:rsid w:val="593E005D"/>
    <w:rsid w:val="5940158A"/>
    <w:rsid w:val="59454372"/>
    <w:rsid w:val="594606CC"/>
    <w:rsid w:val="594B6D49"/>
    <w:rsid w:val="595258C3"/>
    <w:rsid w:val="596460E9"/>
    <w:rsid w:val="59697600"/>
    <w:rsid w:val="596C25D4"/>
    <w:rsid w:val="597028E6"/>
    <w:rsid w:val="597D38D7"/>
    <w:rsid w:val="598910A1"/>
    <w:rsid w:val="598A75D0"/>
    <w:rsid w:val="59935094"/>
    <w:rsid w:val="5995496F"/>
    <w:rsid w:val="59A62A34"/>
    <w:rsid w:val="59AB1748"/>
    <w:rsid w:val="59AD1771"/>
    <w:rsid w:val="59AF2059"/>
    <w:rsid w:val="59B159CB"/>
    <w:rsid w:val="59B51848"/>
    <w:rsid w:val="59B80057"/>
    <w:rsid w:val="59BC67AC"/>
    <w:rsid w:val="59C03938"/>
    <w:rsid w:val="59C811F1"/>
    <w:rsid w:val="59C83D69"/>
    <w:rsid w:val="59CB01B4"/>
    <w:rsid w:val="59CC0DAD"/>
    <w:rsid w:val="59CF1C3E"/>
    <w:rsid w:val="59D76A58"/>
    <w:rsid w:val="59D87B36"/>
    <w:rsid w:val="59E57113"/>
    <w:rsid w:val="59E91981"/>
    <w:rsid w:val="59F22823"/>
    <w:rsid w:val="59F35BF5"/>
    <w:rsid w:val="59F42704"/>
    <w:rsid w:val="59FD1C88"/>
    <w:rsid w:val="5A0020BE"/>
    <w:rsid w:val="5A004EC8"/>
    <w:rsid w:val="5A02215A"/>
    <w:rsid w:val="5A0823EC"/>
    <w:rsid w:val="5A0B4999"/>
    <w:rsid w:val="5A0C5C1F"/>
    <w:rsid w:val="5A1219E8"/>
    <w:rsid w:val="5A1601E1"/>
    <w:rsid w:val="5A1A2003"/>
    <w:rsid w:val="5A2023BC"/>
    <w:rsid w:val="5A2534E2"/>
    <w:rsid w:val="5A272110"/>
    <w:rsid w:val="5A2F52ED"/>
    <w:rsid w:val="5A307C26"/>
    <w:rsid w:val="5A307F73"/>
    <w:rsid w:val="5A341010"/>
    <w:rsid w:val="5A3A1517"/>
    <w:rsid w:val="5A4D351E"/>
    <w:rsid w:val="5A507300"/>
    <w:rsid w:val="5A51154D"/>
    <w:rsid w:val="5A523957"/>
    <w:rsid w:val="5A532CC8"/>
    <w:rsid w:val="5A612789"/>
    <w:rsid w:val="5A6543C4"/>
    <w:rsid w:val="5A6A5675"/>
    <w:rsid w:val="5A6E205B"/>
    <w:rsid w:val="5A7B2C70"/>
    <w:rsid w:val="5A7C2218"/>
    <w:rsid w:val="5A7C5822"/>
    <w:rsid w:val="5A847FE5"/>
    <w:rsid w:val="5A916654"/>
    <w:rsid w:val="5A9B3B8F"/>
    <w:rsid w:val="5A9D6553"/>
    <w:rsid w:val="5A9E6004"/>
    <w:rsid w:val="5AA206E2"/>
    <w:rsid w:val="5AAB402B"/>
    <w:rsid w:val="5AAF46FD"/>
    <w:rsid w:val="5AB36954"/>
    <w:rsid w:val="5ABB0D66"/>
    <w:rsid w:val="5ABE401A"/>
    <w:rsid w:val="5AC526EE"/>
    <w:rsid w:val="5ACB4B14"/>
    <w:rsid w:val="5AD45224"/>
    <w:rsid w:val="5ADA5032"/>
    <w:rsid w:val="5ADC6365"/>
    <w:rsid w:val="5AED2A7F"/>
    <w:rsid w:val="5B0A16D4"/>
    <w:rsid w:val="5B0B0FE2"/>
    <w:rsid w:val="5B1029A0"/>
    <w:rsid w:val="5B18258F"/>
    <w:rsid w:val="5B28216A"/>
    <w:rsid w:val="5B2B1ACA"/>
    <w:rsid w:val="5B302C2D"/>
    <w:rsid w:val="5B33397C"/>
    <w:rsid w:val="5B35552C"/>
    <w:rsid w:val="5B356E68"/>
    <w:rsid w:val="5B3A4E8A"/>
    <w:rsid w:val="5B43203B"/>
    <w:rsid w:val="5B485D9E"/>
    <w:rsid w:val="5B4E4DA1"/>
    <w:rsid w:val="5B5335BE"/>
    <w:rsid w:val="5B613886"/>
    <w:rsid w:val="5B6A6045"/>
    <w:rsid w:val="5B6C39BD"/>
    <w:rsid w:val="5B7B1E82"/>
    <w:rsid w:val="5B862B77"/>
    <w:rsid w:val="5B944D80"/>
    <w:rsid w:val="5B9509FD"/>
    <w:rsid w:val="5B957A5E"/>
    <w:rsid w:val="5BAB4BEE"/>
    <w:rsid w:val="5BB210AD"/>
    <w:rsid w:val="5BB47B97"/>
    <w:rsid w:val="5BB81EEF"/>
    <w:rsid w:val="5BC23198"/>
    <w:rsid w:val="5BC3049A"/>
    <w:rsid w:val="5BC52C1C"/>
    <w:rsid w:val="5BCE2157"/>
    <w:rsid w:val="5BD14762"/>
    <w:rsid w:val="5BD2376F"/>
    <w:rsid w:val="5BEA66B7"/>
    <w:rsid w:val="5BEB4DCC"/>
    <w:rsid w:val="5BF81226"/>
    <w:rsid w:val="5BFB7485"/>
    <w:rsid w:val="5C0042AF"/>
    <w:rsid w:val="5C021D5C"/>
    <w:rsid w:val="5C097E8B"/>
    <w:rsid w:val="5C0E1887"/>
    <w:rsid w:val="5C0E448E"/>
    <w:rsid w:val="5C116FBD"/>
    <w:rsid w:val="5C18254C"/>
    <w:rsid w:val="5C1B2C25"/>
    <w:rsid w:val="5C1E0099"/>
    <w:rsid w:val="5C24204D"/>
    <w:rsid w:val="5C261AD7"/>
    <w:rsid w:val="5C2A4D2E"/>
    <w:rsid w:val="5C2E032C"/>
    <w:rsid w:val="5C317C76"/>
    <w:rsid w:val="5C3344C7"/>
    <w:rsid w:val="5C35045C"/>
    <w:rsid w:val="5C3B0435"/>
    <w:rsid w:val="5C3C5668"/>
    <w:rsid w:val="5C3C56AD"/>
    <w:rsid w:val="5C3D32DD"/>
    <w:rsid w:val="5C3E4B55"/>
    <w:rsid w:val="5C404666"/>
    <w:rsid w:val="5C422461"/>
    <w:rsid w:val="5C48686D"/>
    <w:rsid w:val="5C4E616C"/>
    <w:rsid w:val="5C4F52A1"/>
    <w:rsid w:val="5C4F75E7"/>
    <w:rsid w:val="5C50319B"/>
    <w:rsid w:val="5C511614"/>
    <w:rsid w:val="5C520197"/>
    <w:rsid w:val="5C5371DE"/>
    <w:rsid w:val="5C5D4ED4"/>
    <w:rsid w:val="5C5F094C"/>
    <w:rsid w:val="5C603564"/>
    <w:rsid w:val="5C633837"/>
    <w:rsid w:val="5C6B674F"/>
    <w:rsid w:val="5C6D560E"/>
    <w:rsid w:val="5C6F57DC"/>
    <w:rsid w:val="5C7E0DF8"/>
    <w:rsid w:val="5C7E39D8"/>
    <w:rsid w:val="5C8A31FF"/>
    <w:rsid w:val="5C9C7108"/>
    <w:rsid w:val="5C9F55AA"/>
    <w:rsid w:val="5CA474D4"/>
    <w:rsid w:val="5CA84AC1"/>
    <w:rsid w:val="5CAC4293"/>
    <w:rsid w:val="5CB64B19"/>
    <w:rsid w:val="5CBD7A62"/>
    <w:rsid w:val="5CBF1A37"/>
    <w:rsid w:val="5CC164AE"/>
    <w:rsid w:val="5CC22998"/>
    <w:rsid w:val="5CC5766D"/>
    <w:rsid w:val="5CC829D4"/>
    <w:rsid w:val="5CD22245"/>
    <w:rsid w:val="5CD612EC"/>
    <w:rsid w:val="5CD620EF"/>
    <w:rsid w:val="5CD63CB1"/>
    <w:rsid w:val="5CD75EB0"/>
    <w:rsid w:val="5CE00BB1"/>
    <w:rsid w:val="5CE37D5E"/>
    <w:rsid w:val="5CE76E4E"/>
    <w:rsid w:val="5CE97CE3"/>
    <w:rsid w:val="5CF06B97"/>
    <w:rsid w:val="5CF85D55"/>
    <w:rsid w:val="5CFA67A0"/>
    <w:rsid w:val="5CFF26BA"/>
    <w:rsid w:val="5CFF2C7D"/>
    <w:rsid w:val="5CFF66F4"/>
    <w:rsid w:val="5D042519"/>
    <w:rsid w:val="5D0731E2"/>
    <w:rsid w:val="5D073D33"/>
    <w:rsid w:val="5D0A1CA8"/>
    <w:rsid w:val="5D0E09BF"/>
    <w:rsid w:val="5D10070C"/>
    <w:rsid w:val="5D1077A1"/>
    <w:rsid w:val="5D193562"/>
    <w:rsid w:val="5D232DD8"/>
    <w:rsid w:val="5D2360DD"/>
    <w:rsid w:val="5D360039"/>
    <w:rsid w:val="5D3A22F4"/>
    <w:rsid w:val="5D3D681F"/>
    <w:rsid w:val="5D421B63"/>
    <w:rsid w:val="5D435C8A"/>
    <w:rsid w:val="5D467576"/>
    <w:rsid w:val="5D4B2525"/>
    <w:rsid w:val="5D4F0CAA"/>
    <w:rsid w:val="5D543240"/>
    <w:rsid w:val="5D5434CB"/>
    <w:rsid w:val="5D5A25C6"/>
    <w:rsid w:val="5D645AF7"/>
    <w:rsid w:val="5D697151"/>
    <w:rsid w:val="5D7070A0"/>
    <w:rsid w:val="5D79361A"/>
    <w:rsid w:val="5D7B2BAE"/>
    <w:rsid w:val="5D87359C"/>
    <w:rsid w:val="5D893541"/>
    <w:rsid w:val="5D8C28B4"/>
    <w:rsid w:val="5D8E7C73"/>
    <w:rsid w:val="5D974515"/>
    <w:rsid w:val="5D9832F3"/>
    <w:rsid w:val="5D9934EC"/>
    <w:rsid w:val="5D9A7256"/>
    <w:rsid w:val="5D9C1E54"/>
    <w:rsid w:val="5DAB1E9E"/>
    <w:rsid w:val="5DB53FF3"/>
    <w:rsid w:val="5DB81F70"/>
    <w:rsid w:val="5DBC3F54"/>
    <w:rsid w:val="5DC328CA"/>
    <w:rsid w:val="5DCA57DD"/>
    <w:rsid w:val="5DD14137"/>
    <w:rsid w:val="5DD74A14"/>
    <w:rsid w:val="5DDB163B"/>
    <w:rsid w:val="5DDC2477"/>
    <w:rsid w:val="5DDC2877"/>
    <w:rsid w:val="5DF03AB4"/>
    <w:rsid w:val="5DF11D42"/>
    <w:rsid w:val="5DFA2E17"/>
    <w:rsid w:val="5DFB0C01"/>
    <w:rsid w:val="5E006537"/>
    <w:rsid w:val="5E1D2155"/>
    <w:rsid w:val="5E2374D1"/>
    <w:rsid w:val="5E2C6CCC"/>
    <w:rsid w:val="5E2F41CB"/>
    <w:rsid w:val="5E3A68B5"/>
    <w:rsid w:val="5E401AFE"/>
    <w:rsid w:val="5E454E01"/>
    <w:rsid w:val="5E490493"/>
    <w:rsid w:val="5E4C4204"/>
    <w:rsid w:val="5E4D4054"/>
    <w:rsid w:val="5E4F4CEC"/>
    <w:rsid w:val="5E517BBA"/>
    <w:rsid w:val="5E521705"/>
    <w:rsid w:val="5E650FB2"/>
    <w:rsid w:val="5E656142"/>
    <w:rsid w:val="5E680B19"/>
    <w:rsid w:val="5E6C40A3"/>
    <w:rsid w:val="5E6C53A1"/>
    <w:rsid w:val="5E7334F8"/>
    <w:rsid w:val="5E7805FF"/>
    <w:rsid w:val="5E7859D6"/>
    <w:rsid w:val="5E842B6A"/>
    <w:rsid w:val="5E875A07"/>
    <w:rsid w:val="5E8C1E30"/>
    <w:rsid w:val="5E911FAC"/>
    <w:rsid w:val="5E92137B"/>
    <w:rsid w:val="5E9373FC"/>
    <w:rsid w:val="5EA67DEF"/>
    <w:rsid w:val="5EA736D1"/>
    <w:rsid w:val="5EAA11B3"/>
    <w:rsid w:val="5EB30716"/>
    <w:rsid w:val="5EB70697"/>
    <w:rsid w:val="5EB95510"/>
    <w:rsid w:val="5EB956EE"/>
    <w:rsid w:val="5EC57A3D"/>
    <w:rsid w:val="5ECB275F"/>
    <w:rsid w:val="5ECE2836"/>
    <w:rsid w:val="5EDB5813"/>
    <w:rsid w:val="5EDE3A55"/>
    <w:rsid w:val="5EE2308E"/>
    <w:rsid w:val="5EE35C8C"/>
    <w:rsid w:val="5EEC409E"/>
    <w:rsid w:val="5EF2448C"/>
    <w:rsid w:val="5EF442F3"/>
    <w:rsid w:val="5F051F15"/>
    <w:rsid w:val="5F222082"/>
    <w:rsid w:val="5F37319D"/>
    <w:rsid w:val="5F3A21FA"/>
    <w:rsid w:val="5F490636"/>
    <w:rsid w:val="5F4A6244"/>
    <w:rsid w:val="5F555F58"/>
    <w:rsid w:val="5F6219E5"/>
    <w:rsid w:val="5F7C4F33"/>
    <w:rsid w:val="5F7D5743"/>
    <w:rsid w:val="5F810563"/>
    <w:rsid w:val="5F824D0A"/>
    <w:rsid w:val="5F85207D"/>
    <w:rsid w:val="5F902061"/>
    <w:rsid w:val="5F91364B"/>
    <w:rsid w:val="5F930102"/>
    <w:rsid w:val="5F942C15"/>
    <w:rsid w:val="5F982E68"/>
    <w:rsid w:val="5F983E67"/>
    <w:rsid w:val="5F9F2897"/>
    <w:rsid w:val="5FA57B43"/>
    <w:rsid w:val="5FB560BB"/>
    <w:rsid w:val="5FB62CD8"/>
    <w:rsid w:val="5FC20790"/>
    <w:rsid w:val="5FC87F8E"/>
    <w:rsid w:val="5FC91DE9"/>
    <w:rsid w:val="5FCE57F6"/>
    <w:rsid w:val="5FD820A7"/>
    <w:rsid w:val="5FDF0C33"/>
    <w:rsid w:val="5FE25D83"/>
    <w:rsid w:val="5FE5232B"/>
    <w:rsid w:val="5FEC3C05"/>
    <w:rsid w:val="5FF020A1"/>
    <w:rsid w:val="5FFC5DE4"/>
    <w:rsid w:val="600F241C"/>
    <w:rsid w:val="60112156"/>
    <w:rsid w:val="6012207B"/>
    <w:rsid w:val="601270E4"/>
    <w:rsid w:val="60127ACF"/>
    <w:rsid w:val="60195F65"/>
    <w:rsid w:val="601A6881"/>
    <w:rsid w:val="60200E33"/>
    <w:rsid w:val="6023016C"/>
    <w:rsid w:val="602924AC"/>
    <w:rsid w:val="602B5AAA"/>
    <w:rsid w:val="60334B2A"/>
    <w:rsid w:val="603E7B8A"/>
    <w:rsid w:val="60415FF4"/>
    <w:rsid w:val="60420933"/>
    <w:rsid w:val="6056292C"/>
    <w:rsid w:val="6063156C"/>
    <w:rsid w:val="606502AC"/>
    <w:rsid w:val="60656D53"/>
    <w:rsid w:val="60660D11"/>
    <w:rsid w:val="606611B7"/>
    <w:rsid w:val="60687B01"/>
    <w:rsid w:val="606D5453"/>
    <w:rsid w:val="607044B9"/>
    <w:rsid w:val="60760530"/>
    <w:rsid w:val="6078579C"/>
    <w:rsid w:val="608159C3"/>
    <w:rsid w:val="60841E8A"/>
    <w:rsid w:val="60904724"/>
    <w:rsid w:val="60924935"/>
    <w:rsid w:val="60934023"/>
    <w:rsid w:val="60947BEA"/>
    <w:rsid w:val="609B6315"/>
    <w:rsid w:val="60AC169F"/>
    <w:rsid w:val="60AF0E29"/>
    <w:rsid w:val="60B316F2"/>
    <w:rsid w:val="60B43DFD"/>
    <w:rsid w:val="60B55179"/>
    <w:rsid w:val="60B84522"/>
    <w:rsid w:val="60BF5745"/>
    <w:rsid w:val="60C47684"/>
    <w:rsid w:val="60C90EA4"/>
    <w:rsid w:val="60CA2396"/>
    <w:rsid w:val="60CE4002"/>
    <w:rsid w:val="60CF0514"/>
    <w:rsid w:val="60D07484"/>
    <w:rsid w:val="60D10C0F"/>
    <w:rsid w:val="60D3569F"/>
    <w:rsid w:val="60D4537B"/>
    <w:rsid w:val="60D74889"/>
    <w:rsid w:val="60E02B8F"/>
    <w:rsid w:val="60E26F48"/>
    <w:rsid w:val="60E92E1A"/>
    <w:rsid w:val="60ED6BA8"/>
    <w:rsid w:val="60F37DA9"/>
    <w:rsid w:val="60FA110C"/>
    <w:rsid w:val="60FA46E4"/>
    <w:rsid w:val="60FD3753"/>
    <w:rsid w:val="60FE00AF"/>
    <w:rsid w:val="60FE35D0"/>
    <w:rsid w:val="6101046D"/>
    <w:rsid w:val="61047EF9"/>
    <w:rsid w:val="61064296"/>
    <w:rsid w:val="610864CC"/>
    <w:rsid w:val="610958BB"/>
    <w:rsid w:val="610A63CC"/>
    <w:rsid w:val="611558FC"/>
    <w:rsid w:val="61163F01"/>
    <w:rsid w:val="61164EEF"/>
    <w:rsid w:val="61176A85"/>
    <w:rsid w:val="611A697F"/>
    <w:rsid w:val="61206479"/>
    <w:rsid w:val="612143A4"/>
    <w:rsid w:val="61216CB5"/>
    <w:rsid w:val="61221695"/>
    <w:rsid w:val="6124184C"/>
    <w:rsid w:val="61254671"/>
    <w:rsid w:val="612C0280"/>
    <w:rsid w:val="612E3337"/>
    <w:rsid w:val="61331CD5"/>
    <w:rsid w:val="614050A9"/>
    <w:rsid w:val="61465E1A"/>
    <w:rsid w:val="614B5BCE"/>
    <w:rsid w:val="614D1495"/>
    <w:rsid w:val="614D2B5A"/>
    <w:rsid w:val="61524121"/>
    <w:rsid w:val="6155426A"/>
    <w:rsid w:val="615755AF"/>
    <w:rsid w:val="615D6475"/>
    <w:rsid w:val="61620240"/>
    <w:rsid w:val="6166594C"/>
    <w:rsid w:val="616730ED"/>
    <w:rsid w:val="616C2054"/>
    <w:rsid w:val="616E3976"/>
    <w:rsid w:val="617D0D60"/>
    <w:rsid w:val="618321F0"/>
    <w:rsid w:val="618563BE"/>
    <w:rsid w:val="61861C69"/>
    <w:rsid w:val="61867017"/>
    <w:rsid w:val="618B084B"/>
    <w:rsid w:val="618E1E6E"/>
    <w:rsid w:val="618F22FB"/>
    <w:rsid w:val="61B15149"/>
    <w:rsid w:val="61B16AF8"/>
    <w:rsid w:val="61B66611"/>
    <w:rsid w:val="61B71C73"/>
    <w:rsid w:val="61B867C3"/>
    <w:rsid w:val="61C1068B"/>
    <w:rsid w:val="61C56900"/>
    <w:rsid w:val="61C73EC2"/>
    <w:rsid w:val="61D32FE5"/>
    <w:rsid w:val="61D9528D"/>
    <w:rsid w:val="61DA6BBA"/>
    <w:rsid w:val="61DE7C3D"/>
    <w:rsid w:val="61E1330A"/>
    <w:rsid w:val="61E51E0F"/>
    <w:rsid w:val="61E852C9"/>
    <w:rsid w:val="61E93953"/>
    <w:rsid w:val="61EE26FB"/>
    <w:rsid w:val="61EE28BD"/>
    <w:rsid w:val="61F0115C"/>
    <w:rsid w:val="61FA5B62"/>
    <w:rsid w:val="6203062B"/>
    <w:rsid w:val="62070260"/>
    <w:rsid w:val="620A5E09"/>
    <w:rsid w:val="62164CFF"/>
    <w:rsid w:val="6222428F"/>
    <w:rsid w:val="6226324A"/>
    <w:rsid w:val="623328EA"/>
    <w:rsid w:val="62390C34"/>
    <w:rsid w:val="6239162C"/>
    <w:rsid w:val="623D4624"/>
    <w:rsid w:val="623D5E3F"/>
    <w:rsid w:val="6241252A"/>
    <w:rsid w:val="62464E95"/>
    <w:rsid w:val="62475095"/>
    <w:rsid w:val="625377EA"/>
    <w:rsid w:val="625D49CE"/>
    <w:rsid w:val="6260455B"/>
    <w:rsid w:val="626114D6"/>
    <w:rsid w:val="6268560F"/>
    <w:rsid w:val="627C049D"/>
    <w:rsid w:val="627E327C"/>
    <w:rsid w:val="628E6DF2"/>
    <w:rsid w:val="628F77E2"/>
    <w:rsid w:val="62971DFA"/>
    <w:rsid w:val="629963D8"/>
    <w:rsid w:val="62A62474"/>
    <w:rsid w:val="62B22755"/>
    <w:rsid w:val="62B3642B"/>
    <w:rsid w:val="62B91CB2"/>
    <w:rsid w:val="62C3578D"/>
    <w:rsid w:val="62D000C9"/>
    <w:rsid w:val="62E05F11"/>
    <w:rsid w:val="62E70CE0"/>
    <w:rsid w:val="62F00E21"/>
    <w:rsid w:val="62F06C0E"/>
    <w:rsid w:val="62F571B6"/>
    <w:rsid w:val="62F91A8D"/>
    <w:rsid w:val="62FA0118"/>
    <w:rsid w:val="62FB5ADF"/>
    <w:rsid w:val="62FE0FE5"/>
    <w:rsid w:val="63016DD9"/>
    <w:rsid w:val="63026153"/>
    <w:rsid w:val="63060DC1"/>
    <w:rsid w:val="630B0513"/>
    <w:rsid w:val="630D5FB3"/>
    <w:rsid w:val="631D12C4"/>
    <w:rsid w:val="632A6383"/>
    <w:rsid w:val="632C6BDE"/>
    <w:rsid w:val="632F0EFF"/>
    <w:rsid w:val="633159CB"/>
    <w:rsid w:val="6332638D"/>
    <w:rsid w:val="633B2B0B"/>
    <w:rsid w:val="633C5BF9"/>
    <w:rsid w:val="633E36D1"/>
    <w:rsid w:val="6343466C"/>
    <w:rsid w:val="634A145E"/>
    <w:rsid w:val="634E753F"/>
    <w:rsid w:val="63607ED4"/>
    <w:rsid w:val="636469BD"/>
    <w:rsid w:val="63657E3D"/>
    <w:rsid w:val="63670D77"/>
    <w:rsid w:val="63685741"/>
    <w:rsid w:val="636A3942"/>
    <w:rsid w:val="636B5C5F"/>
    <w:rsid w:val="63716369"/>
    <w:rsid w:val="63767EE6"/>
    <w:rsid w:val="637919F5"/>
    <w:rsid w:val="637A710D"/>
    <w:rsid w:val="637D2E4D"/>
    <w:rsid w:val="63802ACC"/>
    <w:rsid w:val="6388225F"/>
    <w:rsid w:val="63947BA7"/>
    <w:rsid w:val="63B253E1"/>
    <w:rsid w:val="63B26566"/>
    <w:rsid w:val="63B601D2"/>
    <w:rsid w:val="63BD7E99"/>
    <w:rsid w:val="63D86821"/>
    <w:rsid w:val="63D8720B"/>
    <w:rsid w:val="63DF3F98"/>
    <w:rsid w:val="63E02D15"/>
    <w:rsid w:val="63E0457C"/>
    <w:rsid w:val="63E25AFD"/>
    <w:rsid w:val="63E57666"/>
    <w:rsid w:val="63F03B38"/>
    <w:rsid w:val="63F731A5"/>
    <w:rsid w:val="63FC766C"/>
    <w:rsid w:val="63FE2454"/>
    <w:rsid w:val="64022F76"/>
    <w:rsid w:val="64084173"/>
    <w:rsid w:val="640D3356"/>
    <w:rsid w:val="641269AD"/>
    <w:rsid w:val="64141212"/>
    <w:rsid w:val="641C56F8"/>
    <w:rsid w:val="64231408"/>
    <w:rsid w:val="64263EF4"/>
    <w:rsid w:val="64281DC7"/>
    <w:rsid w:val="6432123B"/>
    <w:rsid w:val="643A7824"/>
    <w:rsid w:val="644376F5"/>
    <w:rsid w:val="644A3F96"/>
    <w:rsid w:val="644B2286"/>
    <w:rsid w:val="64553AA4"/>
    <w:rsid w:val="64564ED9"/>
    <w:rsid w:val="645A5737"/>
    <w:rsid w:val="646029D7"/>
    <w:rsid w:val="64603768"/>
    <w:rsid w:val="646270E8"/>
    <w:rsid w:val="6467123E"/>
    <w:rsid w:val="646B1681"/>
    <w:rsid w:val="64706790"/>
    <w:rsid w:val="64724898"/>
    <w:rsid w:val="647C3BBA"/>
    <w:rsid w:val="64805997"/>
    <w:rsid w:val="64813A7C"/>
    <w:rsid w:val="64823A3A"/>
    <w:rsid w:val="64855B2D"/>
    <w:rsid w:val="64866B4F"/>
    <w:rsid w:val="64867427"/>
    <w:rsid w:val="648976FB"/>
    <w:rsid w:val="648A2250"/>
    <w:rsid w:val="648B1491"/>
    <w:rsid w:val="648B5259"/>
    <w:rsid w:val="648E1573"/>
    <w:rsid w:val="649A52C8"/>
    <w:rsid w:val="64AB4F48"/>
    <w:rsid w:val="64B0747D"/>
    <w:rsid w:val="64B6071F"/>
    <w:rsid w:val="64B73B84"/>
    <w:rsid w:val="64BE2F18"/>
    <w:rsid w:val="64C004BC"/>
    <w:rsid w:val="64C03551"/>
    <w:rsid w:val="64C317B4"/>
    <w:rsid w:val="64C6530B"/>
    <w:rsid w:val="64CB2A33"/>
    <w:rsid w:val="64D9451E"/>
    <w:rsid w:val="64DB77D5"/>
    <w:rsid w:val="64E105D2"/>
    <w:rsid w:val="64E37405"/>
    <w:rsid w:val="64F31974"/>
    <w:rsid w:val="64FA5C63"/>
    <w:rsid w:val="64FA6AE2"/>
    <w:rsid w:val="6507069F"/>
    <w:rsid w:val="65127100"/>
    <w:rsid w:val="6532464B"/>
    <w:rsid w:val="65341AC5"/>
    <w:rsid w:val="653A34E5"/>
    <w:rsid w:val="653C6B1D"/>
    <w:rsid w:val="65433415"/>
    <w:rsid w:val="65463750"/>
    <w:rsid w:val="654E3228"/>
    <w:rsid w:val="65537C6B"/>
    <w:rsid w:val="655C685E"/>
    <w:rsid w:val="656160AB"/>
    <w:rsid w:val="65622086"/>
    <w:rsid w:val="65644A63"/>
    <w:rsid w:val="65655B02"/>
    <w:rsid w:val="656E3321"/>
    <w:rsid w:val="65757B8D"/>
    <w:rsid w:val="65764BA6"/>
    <w:rsid w:val="6578354B"/>
    <w:rsid w:val="658E776E"/>
    <w:rsid w:val="65907AC2"/>
    <w:rsid w:val="65A3564C"/>
    <w:rsid w:val="65A62A91"/>
    <w:rsid w:val="65A8734A"/>
    <w:rsid w:val="65A9185C"/>
    <w:rsid w:val="65AB43EF"/>
    <w:rsid w:val="65B430CC"/>
    <w:rsid w:val="65CC6A3A"/>
    <w:rsid w:val="65DB0A99"/>
    <w:rsid w:val="65DC4ACB"/>
    <w:rsid w:val="65E919BF"/>
    <w:rsid w:val="65ED7EEF"/>
    <w:rsid w:val="65F46CFC"/>
    <w:rsid w:val="65F73BB4"/>
    <w:rsid w:val="65FB6DFE"/>
    <w:rsid w:val="660658FA"/>
    <w:rsid w:val="660B1805"/>
    <w:rsid w:val="660C035C"/>
    <w:rsid w:val="66103D06"/>
    <w:rsid w:val="66190E3D"/>
    <w:rsid w:val="661C061C"/>
    <w:rsid w:val="66235CDE"/>
    <w:rsid w:val="6628673A"/>
    <w:rsid w:val="662A259A"/>
    <w:rsid w:val="66300C32"/>
    <w:rsid w:val="6631536B"/>
    <w:rsid w:val="6639596A"/>
    <w:rsid w:val="663F1119"/>
    <w:rsid w:val="66401DD3"/>
    <w:rsid w:val="6644369D"/>
    <w:rsid w:val="66513A8B"/>
    <w:rsid w:val="66515333"/>
    <w:rsid w:val="66543F3A"/>
    <w:rsid w:val="6654755D"/>
    <w:rsid w:val="66553A9B"/>
    <w:rsid w:val="66706DA7"/>
    <w:rsid w:val="66715E7B"/>
    <w:rsid w:val="66741783"/>
    <w:rsid w:val="66847504"/>
    <w:rsid w:val="66870478"/>
    <w:rsid w:val="66892842"/>
    <w:rsid w:val="66917990"/>
    <w:rsid w:val="66941DAA"/>
    <w:rsid w:val="66972F96"/>
    <w:rsid w:val="66976DD4"/>
    <w:rsid w:val="669A7003"/>
    <w:rsid w:val="66A54376"/>
    <w:rsid w:val="66AD05F5"/>
    <w:rsid w:val="66AD1818"/>
    <w:rsid w:val="66AD4A88"/>
    <w:rsid w:val="66B4636B"/>
    <w:rsid w:val="66B93F76"/>
    <w:rsid w:val="66BE7A6E"/>
    <w:rsid w:val="66C2655F"/>
    <w:rsid w:val="66D01D1D"/>
    <w:rsid w:val="66D20F68"/>
    <w:rsid w:val="66D6103F"/>
    <w:rsid w:val="66DB5E51"/>
    <w:rsid w:val="66DC2051"/>
    <w:rsid w:val="66E1068E"/>
    <w:rsid w:val="66E13704"/>
    <w:rsid w:val="66E40BAD"/>
    <w:rsid w:val="66E77E06"/>
    <w:rsid w:val="66F861FA"/>
    <w:rsid w:val="670027A0"/>
    <w:rsid w:val="67037752"/>
    <w:rsid w:val="67050D51"/>
    <w:rsid w:val="67050D97"/>
    <w:rsid w:val="67051BD7"/>
    <w:rsid w:val="67091904"/>
    <w:rsid w:val="670E178E"/>
    <w:rsid w:val="6717419C"/>
    <w:rsid w:val="67212735"/>
    <w:rsid w:val="673611CB"/>
    <w:rsid w:val="67412B2B"/>
    <w:rsid w:val="674A450B"/>
    <w:rsid w:val="674B4E59"/>
    <w:rsid w:val="675005EC"/>
    <w:rsid w:val="675E366D"/>
    <w:rsid w:val="67635837"/>
    <w:rsid w:val="67690F3D"/>
    <w:rsid w:val="676B3A7C"/>
    <w:rsid w:val="676D52AA"/>
    <w:rsid w:val="677011BD"/>
    <w:rsid w:val="6770452E"/>
    <w:rsid w:val="67705A6F"/>
    <w:rsid w:val="67750EBE"/>
    <w:rsid w:val="67816012"/>
    <w:rsid w:val="67842D1C"/>
    <w:rsid w:val="678C278B"/>
    <w:rsid w:val="67991948"/>
    <w:rsid w:val="67A850E1"/>
    <w:rsid w:val="67AB3E74"/>
    <w:rsid w:val="67B0438B"/>
    <w:rsid w:val="67B33BE3"/>
    <w:rsid w:val="67B71656"/>
    <w:rsid w:val="67B723B3"/>
    <w:rsid w:val="67B743E8"/>
    <w:rsid w:val="67BD43E0"/>
    <w:rsid w:val="67BD4993"/>
    <w:rsid w:val="67BF12B5"/>
    <w:rsid w:val="67C0411D"/>
    <w:rsid w:val="67C95416"/>
    <w:rsid w:val="67D74048"/>
    <w:rsid w:val="67E041E2"/>
    <w:rsid w:val="67E164A0"/>
    <w:rsid w:val="67E51F56"/>
    <w:rsid w:val="67E97A89"/>
    <w:rsid w:val="67ED16B7"/>
    <w:rsid w:val="67F27764"/>
    <w:rsid w:val="67F94D8A"/>
    <w:rsid w:val="6802359C"/>
    <w:rsid w:val="68081463"/>
    <w:rsid w:val="680A257F"/>
    <w:rsid w:val="680E50C8"/>
    <w:rsid w:val="681541C3"/>
    <w:rsid w:val="681674DF"/>
    <w:rsid w:val="681D6FA0"/>
    <w:rsid w:val="682E4AF2"/>
    <w:rsid w:val="68373462"/>
    <w:rsid w:val="68447B3B"/>
    <w:rsid w:val="684F580A"/>
    <w:rsid w:val="685C0FCA"/>
    <w:rsid w:val="68650F7D"/>
    <w:rsid w:val="68655BE3"/>
    <w:rsid w:val="686926D4"/>
    <w:rsid w:val="68774A50"/>
    <w:rsid w:val="68784EDA"/>
    <w:rsid w:val="687A62EB"/>
    <w:rsid w:val="687B4F8F"/>
    <w:rsid w:val="688A20B8"/>
    <w:rsid w:val="688C0135"/>
    <w:rsid w:val="688D57D8"/>
    <w:rsid w:val="6892047F"/>
    <w:rsid w:val="689403A7"/>
    <w:rsid w:val="6897438E"/>
    <w:rsid w:val="68A01495"/>
    <w:rsid w:val="68A27905"/>
    <w:rsid w:val="68A550D0"/>
    <w:rsid w:val="68A57A2E"/>
    <w:rsid w:val="68A7533D"/>
    <w:rsid w:val="68BD6779"/>
    <w:rsid w:val="68C02111"/>
    <w:rsid w:val="68C42BDC"/>
    <w:rsid w:val="68CE3102"/>
    <w:rsid w:val="68D015E0"/>
    <w:rsid w:val="68D33B58"/>
    <w:rsid w:val="68D824C6"/>
    <w:rsid w:val="68E24545"/>
    <w:rsid w:val="68E31D7A"/>
    <w:rsid w:val="68E52DC7"/>
    <w:rsid w:val="68E71448"/>
    <w:rsid w:val="68E92B61"/>
    <w:rsid w:val="68F308C4"/>
    <w:rsid w:val="68F47E39"/>
    <w:rsid w:val="68F51C33"/>
    <w:rsid w:val="68FA62F0"/>
    <w:rsid w:val="68FE7853"/>
    <w:rsid w:val="68FF6668"/>
    <w:rsid w:val="6901117B"/>
    <w:rsid w:val="69021A4A"/>
    <w:rsid w:val="69052CE9"/>
    <w:rsid w:val="690F4CC7"/>
    <w:rsid w:val="69156DDD"/>
    <w:rsid w:val="691D61F1"/>
    <w:rsid w:val="691E3879"/>
    <w:rsid w:val="69211467"/>
    <w:rsid w:val="69214564"/>
    <w:rsid w:val="69257A7E"/>
    <w:rsid w:val="69277662"/>
    <w:rsid w:val="69344B19"/>
    <w:rsid w:val="69345F83"/>
    <w:rsid w:val="69356146"/>
    <w:rsid w:val="69392613"/>
    <w:rsid w:val="69392966"/>
    <w:rsid w:val="693C2B63"/>
    <w:rsid w:val="694E1147"/>
    <w:rsid w:val="69520D7A"/>
    <w:rsid w:val="69573B6E"/>
    <w:rsid w:val="696032C7"/>
    <w:rsid w:val="696206D3"/>
    <w:rsid w:val="6967756D"/>
    <w:rsid w:val="6968644A"/>
    <w:rsid w:val="697011ED"/>
    <w:rsid w:val="69826A24"/>
    <w:rsid w:val="698B2061"/>
    <w:rsid w:val="699004F5"/>
    <w:rsid w:val="699B6DC8"/>
    <w:rsid w:val="69A97058"/>
    <w:rsid w:val="69AB6F60"/>
    <w:rsid w:val="69B96524"/>
    <w:rsid w:val="69BE66B6"/>
    <w:rsid w:val="69C30046"/>
    <w:rsid w:val="69C8002E"/>
    <w:rsid w:val="69CF04C1"/>
    <w:rsid w:val="69D32FE1"/>
    <w:rsid w:val="69D457A0"/>
    <w:rsid w:val="69D463F2"/>
    <w:rsid w:val="69D72910"/>
    <w:rsid w:val="69D94035"/>
    <w:rsid w:val="69DC26A6"/>
    <w:rsid w:val="69E37874"/>
    <w:rsid w:val="69E56B54"/>
    <w:rsid w:val="69E96708"/>
    <w:rsid w:val="69ED002E"/>
    <w:rsid w:val="69ED2DB6"/>
    <w:rsid w:val="69ED6B4A"/>
    <w:rsid w:val="69EE54CD"/>
    <w:rsid w:val="69F92613"/>
    <w:rsid w:val="69FB7CD4"/>
    <w:rsid w:val="69FD723E"/>
    <w:rsid w:val="69FD7CEA"/>
    <w:rsid w:val="6A0229E5"/>
    <w:rsid w:val="6A067F83"/>
    <w:rsid w:val="6A097E59"/>
    <w:rsid w:val="6A0E4D51"/>
    <w:rsid w:val="6A171AFC"/>
    <w:rsid w:val="6A1B06CD"/>
    <w:rsid w:val="6A227A57"/>
    <w:rsid w:val="6A2A2D01"/>
    <w:rsid w:val="6A3225D7"/>
    <w:rsid w:val="6A3A620D"/>
    <w:rsid w:val="6A3B0B6C"/>
    <w:rsid w:val="6A3C0BF8"/>
    <w:rsid w:val="6A423E55"/>
    <w:rsid w:val="6A470981"/>
    <w:rsid w:val="6A4747AF"/>
    <w:rsid w:val="6A49294B"/>
    <w:rsid w:val="6A562B91"/>
    <w:rsid w:val="6A57299A"/>
    <w:rsid w:val="6A697946"/>
    <w:rsid w:val="6A6D6854"/>
    <w:rsid w:val="6A700CED"/>
    <w:rsid w:val="6A7017D7"/>
    <w:rsid w:val="6A7350A3"/>
    <w:rsid w:val="6A7F6B5C"/>
    <w:rsid w:val="6A984CE6"/>
    <w:rsid w:val="6AA235D3"/>
    <w:rsid w:val="6AA31D3D"/>
    <w:rsid w:val="6AB02B50"/>
    <w:rsid w:val="6AB14532"/>
    <w:rsid w:val="6ABB2ED0"/>
    <w:rsid w:val="6ABD7A51"/>
    <w:rsid w:val="6AC00593"/>
    <w:rsid w:val="6AC335C4"/>
    <w:rsid w:val="6AC55EC6"/>
    <w:rsid w:val="6ACC0F11"/>
    <w:rsid w:val="6ADB4318"/>
    <w:rsid w:val="6ADD7DFD"/>
    <w:rsid w:val="6AE2135D"/>
    <w:rsid w:val="6AE77D3D"/>
    <w:rsid w:val="6AE93C28"/>
    <w:rsid w:val="6AF05F1A"/>
    <w:rsid w:val="6B036D80"/>
    <w:rsid w:val="6B0451AB"/>
    <w:rsid w:val="6B0D42E2"/>
    <w:rsid w:val="6B110B6C"/>
    <w:rsid w:val="6B160110"/>
    <w:rsid w:val="6B167467"/>
    <w:rsid w:val="6B1A338E"/>
    <w:rsid w:val="6B21434C"/>
    <w:rsid w:val="6B237C36"/>
    <w:rsid w:val="6B2600DB"/>
    <w:rsid w:val="6B2718FD"/>
    <w:rsid w:val="6B2A147B"/>
    <w:rsid w:val="6B2B4CFC"/>
    <w:rsid w:val="6B2C290C"/>
    <w:rsid w:val="6B33476F"/>
    <w:rsid w:val="6B352059"/>
    <w:rsid w:val="6B3B4CA2"/>
    <w:rsid w:val="6B402B26"/>
    <w:rsid w:val="6B4514F6"/>
    <w:rsid w:val="6B4A50C0"/>
    <w:rsid w:val="6B4D3CED"/>
    <w:rsid w:val="6B5C7011"/>
    <w:rsid w:val="6B6A2B7E"/>
    <w:rsid w:val="6B705893"/>
    <w:rsid w:val="6B7221D1"/>
    <w:rsid w:val="6B725A81"/>
    <w:rsid w:val="6B7D16E0"/>
    <w:rsid w:val="6B7F30F3"/>
    <w:rsid w:val="6B873558"/>
    <w:rsid w:val="6B92645D"/>
    <w:rsid w:val="6B94060D"/>
    <w:rsid w:val="6B973734"/>
    <w:rsid w:val="6B975967"/>
    <w:rsid w:val="6B9A5777"/>
    <w:rsid w:val="6BA8277A"/>
    <w:rsid w:val="6BB248CC"/>
    <w:rsid w:val="6BBA4F60"/>
    <w:rsid w:val="6BBC0DCF"/>
    <w:rsid w:val="6BCA6179"/>
    <w:rsid w:val="6BCE3445"/>
    <w:rsid w:val="6BD0777F"/>
    <w:rsid w:val="6BD619EE"/>
    <w:rsid w:val="6BEA64E2"/>
    <w:rsid w:val="6BFA7E30"/>
    <w:rsid w:val="6BFB030F"/>
    <w:rsid w:val="6C016CAE"/>
    <w:rsid w:val="6C07197C"/>
    <w:rsid w:val="6C090252"/>
    <w:rsid w:val="6C0B7CD2"/>
    <w:rsid w:val="6C0D6AE8"/>
    <w:rsid w:val="6C100936"/>
    <w:rsid w:val="6C1962C3"/>
    <w:rsid w:val="6C1A6808"/>
    <w:rsid w:val="6C255AAD"/>
    <w:rsid w:val="6C276EFC"/>
    <w:rsid w:val="6C2C5801"/>
    <w:rsid w:val="6C2D7320"/>
    <w:rsid w:val="6C2E3E73"/>
    <w:rsid w:val="6C3321F9"/>
    <w:rsid w:val="6C33267C"/>
    <w:rsid w:val="6C3D0F56"/>
    <w:rsid w:val="6C410CB8"/>
    <w:rsid w:val="6C452BDF"/>
    <w:rsid w:val="6C593A56"/>
    <w:rsid w:val="6C5E1CDD"/>
    <w:rsid w:val="6C62391B"/>
    <w:rsid w:val="6C660C8B"/>
    <w:rsid w:val="6C6A716D"/>
    <w:rsid w:val="6C6C6ED7"/>
    <w:rsid w:val="6C71767A"/>
    <w:rsid w:val="6C7C1F44"/>
    <w:rsid w:val="6C827094"/>
    <w:rsid w:val="6C8559E0"/>
    <w:rsid w:val="6C891188"/>
    <w:rsid w:val="6C8D26FB"/>
    <w:rsid w:val="6C996561"/>
    <w:rsid w:val="6CB01397"/>
    <w:rsid w:val="6CC25213"/>
    <w:rsid w:val="6CD76A8F"/>
    <w:rsid w:val="6CDE47C9"/>
    <w:rsid w:val="6CDF1F89"/>
    <w:rsid w:val="6CE0702D"/>
    <w:rsid w:val="6CE83295"/>
    <w:rsid w:val="6CEE220B"/>
    <w:rsid w:val="6CEE246E"/>
    <w:rsid w:val="6CF27A30"/>
    <w:rsid w:val="6CF6067E"/>
    <w:rsid w:val="6D032BD4"/>
    <w:rsid w:val="6D0535EE"/>
    <w:rsid w:val="6D0565AF"/>
    <w:rsid w:val="6D077405"/>
    <w:rsid w:val="6D0A3519"/>
    <w:rsid w:val="6D0B62E2"/>
    <w:rsid w:val="6D133D59"/>
    <w:rsid w:val="6D175B2B"/>
    <w:rsid w:val="6D264EC5"/>
    <w:rsid w:val="6D26662C"/>
    <w:rsid w:val="6D287D4F"/>
    <w:rsid w:val="6D2B3CDC"/>
    <w:rsid w:val="6D330DB7"/>
    <w:rsid w:val="6D437763"/>
    <w:rsid w:val="6D47364D"/>
    <w:rsid w:val="6D4B2385"/>
    <w:rsid w:val="6D4C07B8"/>
    <w:rsid w:val="6D500E33"/>
    <w:rsid w:val="6D5B1179"/>
    <w:rsid w:val="6D671B76"/>
    <w:rsid w:val="6D6D28AF"/>
    <w:rsid w:val="6D6E5E4C"/>
    <w:rsid w:val="6D771293"/>
    <w:rsid w:val="6D78135E"/>
    <w:rsid w:val="6D7D0954"/>
    <w:rsid w:val="6D8153B2"/>
    <w:rsid w:val="6D876AB7"/>
    <w:rsid w:val="6D8A27B4"/>
    <w:rsid w:val="6D8F154F"/>
    <w:rsid w:val="6D9757D1"/>
    <w:rsid w:val="6D9C3974"/>
    <w:rsid w:val="6DA062EA"/>
    <w:rsid w:val="6DA65DBF"/>
    <w:rsid w:val="6DA76631"/>
    <w:rsid w:val="6DA77315"/>
    <w:rsid w:val="6DAE65DB"/>
    <w:rsid w:val="6DAF65CC"/>
    <w:rsid w:val="6DB157A2"/>
    <w:rsid w:val="6DB25F3D"/>
    <w:rsid w:val="6DBA586C"/>
    <w:rsid w:val="6DBE0B3F"/>
    <w:rsid w:val="6DBF7294"/>
    <w:rsid w:val="6DC2555F"/>
    <w:rsid w:val="6DC53FBD"/>
    <w:rsid w:val="6DC84395"/>
    <w:rsid w:val="6DC93FE2"/>
    <w:rsid w:val="6DCA77EA"/>
    <w:rsid w:val="6DD35114"/>
    <w:rsid w:val="6DDE35E8"/>
    <w:rsid w:val="6DE47135"/>
    <w:rsid w:val="6DE65A7A"/>
    <w:rsid w:val="6DE92FA2"/>
    <w:rsid w:val="6DEE0E7D"/>
    <w:rsid w:val="6DEF6BC8"/>
    <w:rsid w:val="6DF3002F"/>
    <w:rsid w:val="6DF574ED"/>
    <w:rsid w:val="6DF81839"/>
    <w:rsid w:val="6E0048DC"/>
    <w:rsid w:val="6E075019"/>
    <w:rsid w:val="6E0766A1"/>
    <w:rsid w:val="6E1419C0"/>
    <w:rsid w:val="6E166FE2"/>
    <w:rsid w:val="6E183FF4"/>
    <w:rsid w:val="6E1B11E5"/>
    <w:rsid w:val="6E1D151C"/>
    <w:rsid w:val="6E1D7756"/>
    <w:rsid w:val="6E245261"/>
    <w:rsid w:val="6E2E7D17"/>
    <w:rsid w:val="6E3323DD"/>
    <w:rsid w:val="6E3761D3"/>
    <w:rsid w:val="6E392DDA"/>
    <w:rsid w:val="6E3E2033"/>
    <w:rsid w:val="6E411943"/>
    <w:rsid w:val="6E440060"/>
    <w:rsid w:val="6E442CF5"/>
    <w:rsid w:val="6E54575C"/>
    <w:rsid w:val="6E5A2999"/>
    <w:rsid w:val="6E612C3F"/>
    <w:rsid w:val="6E650AD9"/>
    <w:rsid w:val="6E6F6D88"/>
    <w:rsid w:val="6E702FE8"/>
    <w:rsid w:val="6E706B87"/>
    <w:rsid w:val="6E766C71"/>
    <w:rsid w:val="6E7926F7"/>
    <w:rsid w:val="6E7B110F"/>
    <w:rsid w:val="6E8A2A35"/>
    <w:rsid w:val="6E8E20B5"/>
    <w:rsid w:val="6E8F2730"/>
    <w:rsid w:val="6E915314"/>
    <w:rsid w:val="6E991DD0"/>
    <w:rsid w:val="6EA04FAE"/>
    <w:rsid w:val="6EAA59A3"/>
    <w:rsid w:val="6EAA79ED"/>
    <w:rsid w:val="6EB029C1"/>
    <w:rsid w:val="6EB330A4"/>
    <w:rsid w:val="6EC161BE"/>
    <w:rsid w:val="6EC53240"/>
    <w:rsid w:val="6ECD08F1"/>
    <w:rsid w:val="6ED8031D"/>
    <w:rsid w:val="6EDF2531"/>
    <w:rsid w:val="6EE1335D"/>
    <w:rsid w:val="6EE50FBC"/>
    <w:rsid w:val="6EEF6508"/>
    <w:rsid w:val="6EF02682"/>
    <w:rsid w:val="6EFA4C0C"/>
    <w:rsid w:val="6EFF1809"/>
    <w:rsid w:val="6F19615F"/>
    <w:rsid w:val="6F1A3B57"/>
    <w:rsid w:val="6F1A60C4"/>
    <w:rsid w:val="6F231E41"/>
    <w:rsid w:val="6F244447"/>
    <w:rsid w:val="6F303DE1"/>
    <w:rsid w:val="6F331C81"/>
    <w:rsid w:val="6F331F52"/>
    <w:rsid w:val="6F362062"/>
    <w:rsid w:val="6F3815D3"/>
    <w:rsid w:val="6F3C0797"/>
    <w:rsid w:val="6F4048CA"/>
    <w:rsid w:val="6F405BD0"/>
    <w:rsid w:val="6F4713C5"/>
    <w:rsid w:val="6F4734D0"/>
    <w:rsid w:val="6F4B3953"/>
    <w:rsid w:val="6F555C91"/>
    <w:rsid w:val="6F603479"/>
    <w:rsid w:val="6F680494"/>
    <w:rsid w:val="6F6B5A9E"/>
    <w:rsid w:val="6F7A07E3"/>
    <w:rsid w:val="6F7D050B"/>
    <w:rsid w:val="6F8C33B0"/>
    <w:rsid w:val="6F8D5B36"/>
    <w:rsid w:val="6F953750"/>
    <w:rsid w:val="6F9B0C75"/>
    <w:rsid w:val="6FA04DA3"/>
    <w:rsid w:val="6FA10B29"/>
    <w:rsid w:val="6FAA2D8A"/>
    <w:rsid w:val="6FC02217"/>
    <w:rsid w:val="6FC34E9D"/>
    <w:rsid w:val="6FC60A07"/>
    <w:rsid w:val="6FC90F86"/>
    <w:rsid w:val="6FCD3BC3"/>
    <w:rsid w:val="6FCE2BBA"/>
    <w:rsid w:val="6FD656A8"/>
    <w:rsid w:val="6FD91844"/>
    <w:rsid w:val="6FDF40F5"/>
    <w:rsid w:val="6FE0165C"/>
    <w:rsid w:val="6FE05F95"/>
    <w:rsid w:val="6FE944E1"/>
    <w:rsid w:val="6FF021F5"/>
    <w:rsid w:val="6FF06B6B"/>
    <w:rsid w:val="6FF47B7F"/>
    <w:rsid w:val="6FF73491"/>
    <w:rsid w:val="6FF97C31"/>
    <w:rsid w:val="6FFC64FF"/>
    <w:rsid w:val="7001428F"/>
    <w:rsid w:val="700E7127"/>
    <w:rsid w:val="70133236"/>
    <w:rsid w:val="70156307"/>
    <w:rsid w:val="7016485B"/>
    <w:rsid w:val="701C590F"/>
    <w:rsid w:val="702033F7"/>
    <w:rsid w:val="7021034D"/>
    <w:rsid w:val="70252DA7"/>
    <w:rsid w:val="702D10A9"/>
    <w:rsid w:val="70315D3B"/>
    <w:rsid w:val="703D58C4"/>
    <w:rsid w:val="70453D87"/>
    <w:rsid w:val="704E5E48"/>
    <w:rsid w:val="7053674B"/>
    <w:rsid w:val="7055360F"/>
    <w:rsid w:val="70642BE6"/>
    <w:rsid w:val="706A4DCB"/>
    <w:rsid w:val="706F497B"/>
    <w:rsid w:val="70724AB3"/>
    <w:rsid w:val="70877819"/>
    <w:rsid w:val="70916EF8"/>
    <w:rsid w:val="709261ED"/>
    <w:rsid w:val="709605AE"/>
    <w:rsid w:val="709D31A3"/>
    <w:rsid w:val="70A02568"/>
    <w:rsid w:val="70AD230C"/>
    <w:rsid w:val="70B4798A"/>
    <w:rsid w:val="70B91785"/>
    <w:rsid w:val="70C41020"/>
    <w:rsid w:val="70C671BA"/>
    <w:rsid w:val="70CC1017"/>
    <w:rsid w:val="70CF255C"/>
    <w:rsid w:val="70D5454C"/>
    <w:rsid w:val="70DC2C89"/>
    <w:rsid w:val="70DD041E"/>
    <w:rsid w:val="70DD743F"/>
    <w:rsid w:val="70DD7EE0"/>
    <w:rsid w:val="70E3150B"/>
    <w:rsid w:val="70E67B77"/>
    <w:rsid w:val="70F323B0"/>
    <w:rsid w:val="70FA4DD2"/>
    <w:rsid w:val="70FD7C9B"/>
    <w:rsid w:val="70FE0735"/>
    <w:rsid w:val="710221FA"/>
    <w:rsid w:val="71094431"/>
    <w:rsid w:val="710D3478"/>
    <w:rsid w:val="710F7585"/>
    <w:rsid w:val="711805A6"/>
    <w:rsid w:val="711A79AD"/>
    <w:rsid w:val="71217446"/>
    <w:rsid w:val="71224F32"/>
    <w:rsid w:val="7123463F"/>
    <w:rsid w:val="713B1ED6"/>
    <w:rsid w:val="71402DA5"/>
    <w:rsid w:val="714463AC"/>
    <w:rsid w:val="7144693A"/>
    <w:rsid w:val="71525708"/>
    <w:rsid w:val="71542A3C"/>
    <w:rsid w:val="71584711"/>
    <w:rsid w:val="71595F23"/>
    <w:rsid w:val="716A4C59"/>
    <w:rsid w:val="716D3AF0"/>
    <w:rsid w:val="717106F9"/>
    <w:rsid w:val="71811922"/>
    <w:rsid w:val="7184567C"/>
    <w:rsid w:val="71866C06"/>
    <w:rsid w:val="718F2568"/>
    <w:rsid w:val="718F3086"/>
    <w:rsid w:val="71910B53"/>
    <w:rsid w:val="719D1BC1"/>
    <w:rsid w:val="719E09E3"/>
    <w:rsid w:val="719F5958"/>
    <w:rsid w:val="71A33FEC"/>
    <w:rsid w:val="71A601E7"/>
    <w:rsid w:val="71A953B8"/>
    <w:rsid w:val="71AC51C8"/>
    <w:rsid w:val="71C37CE8"/>
    <w:rsid w:val="71C402EA"/>
    <w:rsid w:val="71D4132F"/>
    <w:rsid w:val="71D53676"/>
    <w:rsid w:val="71DA32B4"/>
    <w:rsid w:val="71E32E83"/>
    <w:rsid w:val="71E83969"/>
    <w:rsid w:val="71F1228B"/>
    <w:rsid w:val="71F46D71"/>
    <w:rsid w:val="71F61946"/>
    <w:rsid w:val="71F96411"/>
    <w:rsid w:val="71FA7506"/>
    <w:rsid w:val="72061465"/>
    <w:rsid w:val="720F1ACD"/>
    <w:rsid w:val="721C0759"/>
    <w:rsid w:val="722F766C"/>
    <w:rsid w:val="723256D8"/>
    <w:rsid w:val="72382B26"/>
    <w:rsid w:val="72385872"/>
    <w:rsid w:val="723A6B6E"/>
    <w:rsid w:val="723B470E"/>
    <w:rsid w:val="72451F4F"/>
    <w:rsid w:val="72456442"/>
    <w:rsid w:val="7247128C"/>
    <w:rsid w:val="72493E35"/>
    <w:rsid w:val="725B0CD8"/>
    <w:rsid w:val="7264361A"/>
    <w:rsid w:val="726822A9"/>
    <w:rsid w:val="726C3438"/>
    <w:rsid w:val="727367E8"/>
    <w:rsid w:val="72791B78"/>
    <w:rsid w:val="727C5618"/>
    <w:rsid w:val="727F3E51"/>
    <w:rsid w:val="7287073E"/>
    <w:rsid w:val="728C70E1"/>
    <w:rsid w:val="7290542B"/>
    <w:rsid w:val="72913002"/>
    <w:rsid w:val="72917F17"/>
    <w:rsid w:val="72935E6A"/>
    <w:rsid w:val="729A7834"/>
    <w:rsid w:val="72A00661"/>
    <w:rsid w:val="72AF0710"/>
    <w:rsid w:val="72AF2463"/>
    <w:rsid w:val="72B05336"/>
    <w:rsid w:val="72B06D9D"/>
    <w:rsid w:val="72B715E4"/>
    <w:rsid w:val="72C32F53"/>
    <w:rsid w:val="72C77A8A"/>
    <w:rsid w:val="72CB7C4C"/>
    <w:rsid w:val="72D86D20"/>
    <w:rsid w:val="72DB6BCE"/>
    <w:rsid w:val="72F70D65"/>
    <w:rsid w:val="72F762C6"/>
    <w:rsid w:val="72FA1D93"/>
    <w:rsid w:val="72FE3E8E"/>
    <w:rsid w:val="731B711B"/>
    <w:rsid w:val="731C3ED2"/>
    <w:rsid w:val="731E5631"/>
    <w:rsid w:val="732009B8"/>
    <w:rsid w:val="732B0C72"/>
    <w:rsid w:val="733271A4"/>
    <w:rsid w:val="73330C63"/>
    <w:rsid w:val="733863E3"/>
    <w:rsid w:val="733A3332"/>
    <w:rsid w:val="733C1D9D"/>
    <w:rsid w:val="733E3B7F"/>
    <w:rsid w:val="733E46B2"/>
    <w:rsid w:val="733E586B"/>
    <w:rsid w:val="733E59D9"/>
    <w:rsid w:val="734B3969"/>
    <w:rsid w:val="73597F33"/>
    <w:rsid w:val="7375490C"/>
    <w:rsid w:val="73757E63"/>
    <w:rsid w:val="737D2F4F"/>
    <w:rsid w:val="738B029F"/>
    <w:rsid w:val="73900D21"/>
    <w:rsid w:val="739A7114"/>
    <w:rsid w:val="739D5416"/>
    <w:rsid w:val="739F2349"/>
    <w:rsid w:val="739F6287"/>
    <w:rsid w:val="73A242CD"/>
    <w:rsid w:val="73A935F2"/>
    <w:rsid w:val="73AC333B"/>
    <w:rsid w:val="73AD3C4B"/>
    <w:rsid w:val="73B11DBC"/>
    <w:rsid w:val="73B1795C"/>
    <w:rsid w:val="73B51018"/>
    <w:rsid w:val="73B67CAD"/>
    <w:rsid w:val="73B86EBC"/>
    <w:rsid w:val="73C340B3"/>
    <w:rsid w:val="73C72DB3"/>
    <w:rsid w:val="73C81AA9"/>
    <w:rsid w:val="73C854F0"/>
    <w:rsid w:val="73CC2F38"/>
    <w:rsid w:val="73CE0B05"/>
    <w:rsid w:val="73D007EE"/>
    <w:rsid w:val="73D27A00"/>
    <w:rsid w:val="73D31801"/>
    <w:rsid w:val="73D9581C"/>
    <w:rsid w:val="73DA2FBB"/>
    <w:rsid w:val="73DC2CAB"/>
    <w:rsid w:val="73DC5744"/>
    <w:rsid w:val="73E36876"/>
    <w:rsid w:val="73E72CB9"/>
    <w:rsid w:val="74014C0C"/>
    <w:rsid w:val="740B7234"/>
    <w:rsid w:val="741B5358"/>
    <w:rsid w:val="74202F12"/>
    <w:rsid w:val="742C093F"/>
    <w:rsid w:val="742F68DF"/>
    <w:rsid w:val="7435797F"/>
    <w:rsid w:val="7442738A"/>
    <w:rsid w:val="744A0545"/>
    <w:rsid w:val="744F0653"/>
    <w:rsid w:val="744F7C70"/>
    <w:rsid w:val="74521009"/>
    <w:rsid w:val="74532888"/>
    <w:rsid w:val="745C54BA"/>
    <w:rsid w:val="74632A31"/>
    <w:rsid w:val="7465205B"/>
    <w:rsid w:val="746954DB"/>
    <w:rsid w:val="74743C33"/>
    <w:rsid w:val="747640DF"/>
    <w:rsid w:val="747E6036"/>
    <w:rsid w:val="74807A49"/>
    <w:rsid w:val="7482175B"/>
    <w:rsid w:val="74843F0D"/>
    <w:rsid w:val="74A67409"/>
    <w:rsid w:val="74B37F42"/>
    <w:rsid w:val="74B539F8"/>
    <w:rsid w:val="74B94875"/>
    <w:rsid w:val="74BA4FF9"/>
    <w:rsid w:val="74C311F6"/>
    <w:rsid w:val="74C53F19"/>
    <w:rsid w:val="74C579E1"/>
    <w:rsid w:val="74CA0770"/>
    <w:rsid w:val="74D52F3D"/>
    <w:rsid w:val="74D81528"/>
    <w:rsid w:val="74D96025"/>
    <w:rsid w:val="74DA07A2"/>
    <w:rsid w:val="74DF39E4"/>
    <w:rsid w:val="74E133B4"/>
    <w:rsid w:val="74E1491C"/>
    <w:rsid w:val="74E67A31"/>
    <w:rsid w:val="74F61278"/>
    <w:rsid w:val="74F65697"/>
    <w:rsid w:val="74F90505"/>
    <w:rsid w:val="74FC67D7"/>
    <w:rsid w:val="7501178C"/>
    <w:rsid w:val="75092044"/>
    <w:rsid w:val="7510516D"/>
    <w:rsid w:val="75124563"/>
    <w:rsid w:val="751274A1"/>
    <w:rsid w:val="75190871"/>
    <w:rsid w:val="751C2143"/>
    <w:rsid w:val="75295853"/>
    <w:rsid w:val="752D2921"/>
    <w:rsid w:val="752F1869"/>
    <w:rsid w:val="752F2DAC"/>
    <w:rsid w:val="75387884"/>
    <w:rsid w:val="75475838"/>
    <w:rsid w:val="755D7E3D"/>
    <w:rsid w:val="75631790"/>
    <w:rsid w:val="7566472C"/>
    <w:rsid w:val="756B1E1E"/>
    <w:rsid w:val="756B62BD"/>
    <w:rsid w:val="756E6DDD"/>
    <w:rsid w:val="7578413D"/>
    <w:rsid w:val="757B64ED"/>
    <w:rsid w:val="757C232A"/>
    <w:rsid w:val="75851DCA"/>
    <w:rsid w:val="75895C6B"/>
    <w:rsid w:val="758F3A2A"/>
    <w:rsid w:val="7595284C"/>
    <w:rsid w:val="759638CA"/>
    <w:rsid w:val="7599617F"/>
    <w:rsid w:val="759A19E2"/>
    <w:rsid w:val="759D7802"/>
    <w:rsid w:val="75A011FF"/>
    <w:rsid w:val="75A70E4F"/>
    <w:rsid w:val="75AA3F51"/>
    <w:rsid w:val="75B11420"/>
    <w:rsid w:val="75B263D3"/>
    <w:rsid w:val="75CB7A28"/>
    <w:rsid w:val="75DA0294"/>
    <w:rsid w:val="75DC2372"/>
    <w:rsid w:val="75E16CC1"/>
    <w:rsid w:val="75F22E0F"/>
    <w:rsid w:val="7600000E"/>
    <w:rsid w:val="760021B6"/>
    <w:rsid w:val="760950F4"/>
    <w:rsid w:val="76122AB3"/>
    <w:rsid w:val="76127806"/>
    <w:rsid w:val="76154B74"/>
    <w:rsid w:val="761C414A"/>
    <w:rsid w:val="761D237D"/>
    <w:rsid w:val="762721D0"/>
    <w:rsid w:val="76292CB3"/>
    <w:rsid w:val="76380CDC"/>
    <w:rsid w:val="76383420"/>
    <w:rsid w:val="76411431"/>
    <w:rsid w:val="7649562B"/>
    <w:rsid w:val="764F7C59"/>
    <w:rsid w:val="76536622"/>
    <w:rsid w:val="765566B4"/>
    <w:rsid w:val="76605088"/>
    <w:rsid w:val="76617C2E"/>
    <w:rsid w:val="76636412"/>
    <w:rsid w:val="766477E2"/>
    <w:rsid w:val="7668119A"/>
    <w:rsid w:val="766966D4"/>
    <w:rsid w:val="766E17F9"/>
    <w:rsid w:val="76804CD3"/>
    <w:rsid w:val="76894FB9"/>
    <w:rsid w:val="768C1EBA"/>
    <w:rsid w:val="768E260E"/>
    <w:rsid w:val="769222A0"/>
    <w:rsid w:val="769568F8"/>
    <w:rsid w:val="76993596"/>
    <w:rsid w:val="769F0134"/>
    <w:rsid w:val="76A65C22"/>
    <w:rsid w:val="76B14AAD"/>
    <w:rsid w:val="76B44C21"/>
    <w:rsid w:val="76C118A2"/>
    <w:rsid w:val="76C32B57"/>
    <w:rsid w:val="76C63D93"/>
    <w:rsid w:val="76CB0A63"/>
    <w:rsid w:val="76D25527"/>
    <w:rsid w:val="76D81970"/>
    <w:rsid w:val="76DD3810"/>
    <w:rsid w:val="76E451C7"/>
    <w:rsid w:val="76E472DD"/>
    <w:rsid w:val="76E8548D"/>
    <w:rsid w:val="76ED3B38"/>
    <w:rsid w:val="76F13EA7"/>
    <w:rsid w:val="76F14581"/>
    <w:rsid w:val="76F3209A"/>
    <w:rsid w:val="76F77BBD"/>
    <w:rsid w:val="76FD22EC"/>
    <w:rsid w:val="76FD6D57"/>
    <w:rsid w:val="77030B27"/>
    <w:rsid w:val="77034D41"/>
    <w:rsid w:val="77041D95"/>
    <w:rsid w:val="77095079"/>
    <w:rsid w:val="7718408C"/>
    <w:rsid w:val="771D7BC5"/>
    <w:rsid w:val="7723073F"/>
    <w:rsid w:val="772527B2"/>
    <w:rsid w:val="772A6A8E"/>
    <w:rsid w:val="773B25F8"/>
    <w:rsid w:val="773B48CE"/>
    <w:rsid w:val="773D0C62"/>
    <w:rsid w:val="773F62E5"/>
    <w:rsid w:val="7743414C"/>
    <w:rsid w:val="774551B5"/>
    <w:rsid w:val="775124A2"/>
    <w:rsid w:val="77523DCF"/>
    <w:rsid w:val="77591191"/>
    <w:rsid w:val="77606B3D"/>
    <w:rsid w:val="776870B9"/>
    <w:rsid w:val="776967FB"/>
    <w:rsid w:val="776D4583"/>
    <w:rsid w:val="7776540C"/>
    <w:rsid w:val="777A37E1"/>
    <w:rsid w:val="778100C2"/>
    <w:rsid w:val="778121B3"/>
    <w:rsid w:val="77855EB4"/>
    <w:rsid w:val="779D35D8"/>
    <w:rsid w:val="77A94947"/>
    <w:rsid w:val="77AA135C"/>
    <w:rsid w:val="77AB510D"/>
    <w:rsid w:val="77AB7E27"/>
    <w:rsid w:val="77AC14DA"/>
    <w:rsid w:val="77AD64CA"/>
    <w:rsid w:val="77AF3504"/>
    <w:rsid w:val="77B36F7C"/>
    <w:rsid w:val="77BC6B30"/>
    <w:rsid w:val="77BE1BC2"/>
    <w:rsid w:val="77C75FA5"/>
    <w:rsid w:val="77C926F0"/>
    <w:rsid w:val="77CA0362"/>
    <w:rsid w:val="77D17A81"/>
    <w:rsid w:val="77D2359F"/>
    <w:rsid w:val="77E40C30"/>
    <w:rsid w:val="77FC1B84"/>
    <w:rsid w:val="77FF3177"/>
    <w:rsid w:val="780254EB"/>
    <w:rsid w:val="78055C6F"/>
    <w:rsid w:val="780752E6"/>
    <w:rsid w:val="780B6CC7"/>
    <w:rsid w:val="78153F77"/>
    <w:rsid w:val="78155CF2"/>
    <w:rsid w:val="78185315"/>
    <w:rsid w:val="781C67FA"/>
    <w:rsid w:val="782378AE"/>
    <w:rsid w:val="78296DAC"/>
    <w:rsid w:val="783267CC"/>
    <w:rsid w:val="783E418B"/>
    <w:rsid w:val="783F1754"/>
    <w:rsid w:val="784A7790"/>
    <w:rsid w:val="784E3C01"/>
    <w:rsid w:val="78570849"/>
    <w:rsid w:val="78575D9F"/>
    <w:rsid w:val="785B5DBF"/>
    <w:rsid w:val="78600977"/>
    <w:rsid w:val="78617AF2"/>
    <w:rsid w:val="78626899"/>
    <w:rsid w:val="786421F2"/>
    <w:rsid w:val="786616B3"/>
    <w:rsid w:val="786E5D08"/>
    <w:rsid w:val="787D41E5"/>
    <w:rsid w:val="787E7A1D"/>
    <w:rsid w:val="78812F7C"/>
    <w:rsid w:val="789054AC"/>
    <w:rsid w:val="789469EF"/>
    <w:rsid w:val="78975C7D"/>
    <w:rsid w:val="78A51B95"/>
    <w:rsid w:val="78AA6975"/>
    <w:rsid w:val="78B15E1D"/>
    <w:rsid w:val="78C15B1C"/>
    <w:rsid w:val="78C359B3"/>
    <w:rsid w:val="78C653C1"/>
    <w:rsid w:val="78C9190A"/>
    <w:rsid w:val="78C97D4F"/>
    <w:rsid w:val="78CC0493"/>
    <w:rsid w:val="78DB3FCA"/>
    <w:rsid w:val="78EC2D52"/>
    <w:rsid w:val="78F5480C"/>
    <w:rsid w:val="78FA7F8E"/>
    <w:rsid w:val="79036E66"/>
    <w:rsid w:val="790945D5"/>
    <w:rsid w:val="790B5E2B"/>
    <w:rsid w:val="790E47EA"/>
    <w:rsid w:val="790E548B"/>
    <w:rsid w:val="79104E2B"/>
    <w:rsid w:val="79135CA0"/>
    <w:rsid w:val="791467F0"/>
    <w:rsid w:val="7915089E"/>
    <w:rsid w:val="791A58CD"/>
    <w:rsid w:val="791D6D3A"/>
    <w:rsid w:val="791F537B"/>
    <w:rsid w:val="79344437"/>
    <w:rsid w:val="79367982"/>
    <w:rsid w:val="793D5C2F"/>
    <w:rsid w:val="793E1D3B"/>
    <w:rsid w:val="793F7F0E"/>
    <w:rsid w:val="794A336F"/>
    <w:rsid w:val="794B6C37"/>
    <w:rsid w:val="79537099"/>
    <w:rsid w:val="79552D08"/>
    <w:rsid w:val="7957124C"/>
    <w:rsid w:val="795E7ED2"/>
    <w:rsid w:val="79672E22"/>
    <w:rsid w:val="79677010"/>
    <w:rsid w:val="796E6578"/>
    <w:rsid w:val="79711579"/>
    <w:rsid w:val="797121AE"/>
    <w:rsid w:val="797761C6"/>
    <w:rsid w:val="797E1825"/>
    <w:rsid w:val="79994E18"/>
    <w:rsid w:val="79A7288D"/>
    <w:rsid w:val="79AA3C4E"/>
    <w:rsid w:val="79AE312A"/>
    <w:rsid w:val="79B3208C"/>
    <w:rsid w:val="79B70130"/>
    <w:rsid w:val="79BD5598"/>
    <w:rsid w:val="79C8453B"/>
    <w:rsid w:val="79CB0706"/>
    <w:rsid w:val="79CB0751"/>
    <w:rsid w:val="79CE66ED"/>
    <w:rsid w:val="79CF6E25"/>
    <w:rsid w:val="79D42664"/>
    <w:rsid w:val="79D51250"/>
    <w:rsid w:val="79DB4236"/>
    <w:rsid w:val="79E46B39"/>
    <w:rsid w:val="79E66C93"/>
    <w:rsid w:val="79F16E80"/>
    <w:rsid w:val="79F32B94"/>
    <w:rsid w:val="79F842C2"/>
    <w:rsid w:val="79FA0A29"/>
    <w:rsid w:val="79FC6E04"/>
    <w:rsid w:val="79FE2A4E"/>
    <w:rsid w:val="7A0241AD"/>
    <w:rsid w:val="7A081D42"/>
    <w:rsid w:val="7A0A6E0F"/>
    <w:rsid w:val="7A0A7223"/>
    <w:rsid w:val="7A0C4EA7"/>
    <w:rsid w:val="7A12552F"/>
    <w:rsid w:val="7A1524DD"/>
    <w:rsid w:val="7A1A1772"/>
    <w:rsid w:val="7A1E1DC3"/>
    <w:rsid w:val="7A2751AD"/>
    <w:rsid w:val="7A276994"/>
    <w:rsid w:val="7A2C129F"/>
    <w:rsid w:val="7A3B034D"/>
    <w:rsid w:val="7A3B1C6C"/>
    <w:rsid w:val="7A3F158B"/>
    <w:rsid w:val="7A4A132A"/>
    <w:rsid w:val="7A535840"/>
    <w:rsid w:val="7A5566EE"/>
    <w:rsid w:val="7A646A69"/>
    <w:rsid w:val="7A6736BC"/>
    <w:rsid w:val="7A6A7B3B"/>
    <w:rsid w:val="7A7060B4"/>
    <w:rsid w:val="7A7067FA"/>
    <w:rsid w:val="7A721F7E"/>
    <w:rsid w:val="7A746574"/>
    <w:rsid w:val="7A7678E5"/>
    <w:rsid w:val="7A7A585C"/>
    <w:rsid w:val="7A7B24DD"/>
    <w:rsid w:val="7A7D2094"/>
    <w:rsid w:val="7A7F65CA"/>
    <w:rsid w:val="7A844954"/>
    <w:rsid w:val="7A867241"/>
    <w:rsid w:val="7A876B11"/>
    <w:rsid w:val="7A88301C"/>
    <w:rsid w:val="7A963A48"/>
    <w:rsid w:val="7A9660A3"/>
    <w:rsid w:val="7A9861CB"/>
    <w:rsid w:val="7A986784"/>
    <w:rsid w:val="7ABB3E82"/>
    <w:rsid w:val="7AC3568E"/>
    <w:rsid w:val="7AC449C6"/>
    <w:rsid w:val="7AD17D6D"/>
    <w:rsid w:val="7AD71052"/>
    <w:rsid w:val="7AD9797E"/>
    <w:rsid w:val="7ADE3DB2"/>
    <w:rsid w:val="7AE5682B"/>
    <w:rsid w:val="7AEE60EE"/>
    <w:rsid w:val="7AFE6C9A"/>
    <w:rsid w:val="7B0E060E"/>
    <w:rsid w:val="7B0F5219"/>
    <w:rsid w:val="7B177A77"/>
    <w:rsid w:val="7B193032"/>
    <w:rsid w:val="7B1B1CF8"/>
    <w:rsid w:val="7B26484C"/>
    <w:rsid w:val="7B2B13FD"/>
    <w:rsid w:val="7B3339FA"/>
    <w:rsid w:val="7B346599"/>
    <w:rsid w:val="7B3C25E5"/>
    <w:rsid w:val="7B44094D"/>
    <w:rsid w:val="7B460BFD"/>
    <w:rsid w:val="7B4910BE"/>
    <w:rsid w:val="7B4A7A19"/>
    <w:rsid w:val="7B50325A"/>
    <w:rsid w:val="7B5D3226"/>
    <w:rsid w:val="7B5E4EEC"/>
    <w:rsid w:val="7B624A61"/>
    <w:rsid w:val="7B674BD7"/>
    <w:rsid w:val="7B6D1622"/>
    <w:rsid w:val="7B6E2192"/>
    <w:rsid w:val="7B71585E"/>
    <w:rsid w:val="7B722498"/>
    <w:rsid w:val="7B782690"/>
    <w:rsid w:val="7B793E87"/>
    <w:rsid w:val="7B7C50C8"/>
    <w:rsid w:val="7B7F3966"/>
    <w:rsid w:val="7B80148D"/>
    <w:rsid w:val="7B821ADA"/>
    <w:rsid w:val="7B8F5DA2"/>
    <w:rsid w:val="7B926883"/>
    <w:rsid w:val="7BA34FB1"/>
    <w:rsid w:val="7BA4369C"/>
    <w:rsid w:val="7BA71440"/>
    <w:rsid w:val="7BAE696E"/>
    <w:rsid w:val="7BAF3C86"/>
    <w:rsid w:val="7BC23E12"/>
    <w:rsid w:val="7BC45CF4"/>
    <w:rsid w:val="7BC92A6F"/>
    <w:rsid w:val="7BD36780"/>
    <w:rsid w:val="7BD4048E"/>
    <w:rsid w:val="7BD968AC"/>
    <w:rsid w:val="7BDE060F"/>
    <w:rsid w:val="7BDE524C"/>
    <w:rsid w:val="7BDF5DF5"/>
    <w:rsid w:val="7BE908F3"/>
    <w:rsid w:val="7BE9784F"/>
    <w:rsid w:val="7BEA5E74"/>
    <w:rsid w:val="7BF00328"/>
    <w:rsid w:val="7BF577C1"/>
    <w:rsid w:val="7BF9001B"/>
    <w:rsid w:val="7BFE0389"/>
    <w:rsid w:val="7BFE08FA"/>
    <w:rsid w:val="7C091716"/>
    <w:rsid w:val="7C126AEB"/>
    <w:rsid w:val="7C1F2070"/>
    <w:rsid w:val="7C260105"/>
    <w:rsid w:val="7C2900A2"/>
    <w:rsid w:val="7C295D17"/>
    <w:rsid w:val="7C2A10CD"/>
    <w:rsid w:val="7C2C0E73"/>
    <w:rsid w:val="7C2D2AE7"/>
    <w:rsid w:val="7C2E5247"/>
    <w:rsid w:val="7C4A06A1"/>
    <w:rsid w:val="7C4A5A50"/>
    <w:rsid w:val="7C4B681D"/>
    <w:rsid w:val="7C4C575E"/>
    <w:rsid w:val="7C640974"/>
    <w:rsid w:val="7C643EF7"/>
    <w:rsid w:val="7C690B20"/>
    <w:rsid w:val="7C71523C"/>
    <w:rsid w:val="7C724EAE"/>
    <w:rsid w:val="7C780AD5"/>
    <w:rsid w:val="7C7A14F2"/>
    <w:rsid w:val="7C7E2FFC"/>
    <w:rsid w:val="7C7F038C"/>
    <w:rsid w:val="7C867154"/>
    <w:rsid w:val="7C8A49AA"/>
    <w:rsid w:val="7C8F78D5"/>
    <w:rsid w:val="7C9427B3"/>
    <w:rsid w:val="7C9E5A77"/>
    <w:rsid w:val="7CA777DA"/>
    <w:rsid w:val="7CAD2B44"/>
    <w:rsid w:val="7CB74F4A"/>
    <w:rsid w:val="7CB80138"/>
    <w:rsid w:val="7CB838AF"/>
    <w:rsid w:val="7CBE6F50"/>
    <w:rsid w:val="7CC639C6"/>
    <w:rsid w:val="7CC96839"/>
    <w:rsid w:val="7CCC3CFE"/>
    <w:rsid w:val="7CCD12D3"/>
    <w:rsid w:val="7CD505D1"/>
    <w:rsid w:val="7CD534FD"/>
    <w:rsid w:val="7CD6692A"/>
    <w:rsid w:val="7CDE11DF"/>
    <w:rsid w:val="7CE215AC"/>
    <w:rsid w:val="7CE25B4A"/>
    <w:rsid w:val="7CE3422B"/>
    <w:rsid w:val="7CE5443B"/>
    <w:rsid w:val="7CE76B7F"/>
    <w:rsid w:val="7CED09D9"/>
    <w:rsid w:val="7CF436AD"/>
    <w:rsid w:val="7CF87323"/>
    <w:rsid w:val="7CFC65E9"/>
    <w:rsid w:val="7CFD1F2F"/>
    <w:rsid w:val="7CFF2442"/>
    <w:rsid w:val="7D0115A5"/>
    <w:rsid w:val="7D017D9A"/>
    <w:rsid w:val="7D080205"/>
    <w:rsid w:val="7D0A432A"/>
    <w:rsid w:val="7D0F2DDE"/>
    <w:rsid w:val="7D144B3C"/>
    <w:rsid w:val="7D167BA2"/>
    <w:rsid w:val="7D177687"/>
    <w:rsid w:val="7D1F5883"/>
    <w:rsid w:val="7D242066"/>
    <w:rsid w:val="7D282F0F"/>
    <w:rsid w:val="7D286550"/>
    <w:rsid w:val="7D3140B5"/>
    <w:rsid w:val="7D3874D2"/>
    <w:rsid w:val="7D405530"/>
    <w:rsid w:val="7D4241A1"/>
    <w:rsid w:val="7D452B7F"/>
    <w:rsid w:val="7D497FAA"/>
    <w:rsid w:val="7D526E71"/>
    <w:rsid w:val="7D532432"/>
    <w:rsid w:val="7D5A5BFC"/>
    <w:rsid w:val="7D6518EB"/>
    <w:rsid w:val="7D6B77B5"/>
    <w:rsid w:val="7D7371E1"/>
    <w:rsid w:val="7D74008A"/>
    <w:rsid w:val="7D7862CF"/>
    <w:rsid w:val="7D7A4E9D"/>
    <w:rsid w:val="7D7F0E79"/>
    <w:rsid w:val="7D851CFF"/>
    <w:rsid w:val="7DA65B7D"/>
    <w:rsid w:val="7DA72A35"/>
    <w:rsid w:val="7DA86112"/>
    <w:rsid w:val="7DAE3829"/>
    <w:rsid w:val="7DB00509"/>
    <w:rsid w:val="7DB9268E"/>
    <w:rsid w:val="7DBF3388"/>
    <w:rsid w:val="7DC71DAD"/>
    <w:rsid w:val="7DC8040C"/>
    <w:rsid w:val="7DC85A3E"/>
    <w:rsid w:val="7DCD3893"/>
    <w:rsid w:val="7DCE15A0"/>
    <w:rsid w:val="7DCF3C5F"/>
    <w:rsid w:val="7DD03D33"/>
    <w:rsid w:val="7DD410E6"/>
    <w:rsid w:val="7DD603AD"/>
    <w:rsid w:val="7DD82F1A"/>
    <w:rsid w:val="7DDA1110"/>
    <w:rsid w:val="7DE020DC"/>
    <w:rsid w:val="7DE449CE"/>
    <w:rsid w:val="7DE7722C"/>
    <w:rsid w:val="7DEC05A8"/>
    <w:rsid w:val="7DED1348"/>
    <w:rsid w:val="7DEE71DF"/>
    <w:rsid w:val="7DF66186"/>
    <w:rsid w:val="7E007B1A"/>
    <w:rsid w:val="7E0A5EA4"/>
    <w:rsid w:val="7E0A72D5"/>
    <w:rsid w:val="7E0B3C08"/>
    <w:rsid w:val="7E154422"/>
    <w:rsid w:val="7E1C2B95"/>
    <w:rsid w:val="7E1E3CF4"/>
    <w:rsid w:val="7E212526"/>
    <w:rsid w:val="7E262B03"/>
    <w:rsid w:val="7E29766E"/>
    <w:rsid w:val="7E2E765A"/>
    <w:rsid w:val="7E324C10"/>
    <w:rsid w:val="7E324D32"/>
    <w:rsid w:val="7E3B7336"/>
    <w:rsid w:val="7E3D35D7"/>
    <w:rsid w:val="7E466A84"/>
    <w:rsid w:val="7E472FFE"/>
    <w:rsid w:val="7E4A6379"/>
    <w:rsid w:val="7E5248E3"/>
    <w:rsid w:val="7E5A2EA0"/>
    <w:rsid w:val="7E66305F"/>
    <w:rsid w:val="7E6854DB"/>
    <w:rsid w:val="7E6C43B3"/>
    <w:rsid w:val="7E7311AB"/>
    <w:rsid w:val="7E77762F"/>
    <w:rsid w:val="7E793E63"/>
    <w:rsid w:val="7E7B1715"/>
    <w:rsid w:val="7E8031F2"/>
    <w:rsid w:val="7E860496"/>
    <w:rsid w:val="7E956D81"/>
    <w:rsid w:val="7E9611E7"/>
    <w:rsid w:val="7E9963F8"/>
    <w:rsid w:val="7E9D0633"/>
    <w:rsid w:val="7EA82B9C"/>
    <w:rsid w:val="7EA95574"/>
    <w:rsid w:val="7EB13A3E"/>
    <w:rsid w:val="7EB16AB6"/>
    <w:rsid w:val="7EBD651F"/>
    <w:rsid w:val="7EC05F3D"/>
    <w:rsid w:val="7EC07C28"/>
    <w:rsid w:val="7ECB3BBC"/>
    <w:rsid w:val="7ED27810"/>
    <w:rsid w:val="7ED83896"/>
    <w:rsid w:val="7EDC2729"/>
    <w:rsid w:val="7EE15DD1"/>
    <w:rsid w:val="7EEB46E8"/>
    <w:rsid w:val="7EEE3759"/>
    <w:rsid w:val="7EF04016"/>
    <w:rsid w:val="7EF94F98"/>
    <w:rsid w:val="7EFB200E"/>
    <w:rsid w:val="7EFF41BF"/>
    <w:rsid w:val="7F0126E4"/>
    <w:rsid w:val="7F013802"/>
    <w:rsid w:val="7F051449"/>
    <w:rsid w:val="7F1A1324"/>
    <w:rsid w:val="7F1A4AEF"/>
    <w:rsid w:val="7F271E5F"/>
    <w:rsid w:val="7F29623C"/>
    <w:rsid w:val="7F2D4C74"/>
    <w:rsid w:val="7F341EAD"/>
    <w:rsid w:val="7F350A03"/>
    <w:rsid w:val="7F375587"/>
    <w:rsid w:val="7F3B2B2F"/>
    <w:rsid w:val="7F406D66"/>
    <w:rsid w:val="7F421AF0"/>
    <w:rsid w:val="7F516AFB"/>
    <w:rsid w:val="7F585C16"/>
    <w:rsid w:val="7F5B38C5"/>
    <w:rsid w:val="7F5C5B37"/>
    <w:rsid w:val="7F6566E6"/>
    <w:rsid w:val="7F6A7C64"/>
    <w:rsid w:val="7F6B0BA4"/>
    <w:rsid w:val="7F6E0CE1"/>
    <w:rsid w:val="7F6F6E86"/>
    <w:rsid w:val="7F8A3738"/>
    <w:rsid w:val="7F8B3191"/>
    <w:rsid w:val="7F8C0C31"/>
    <w:rsid w:val="7F8E4655"/>
    <w:rsid w:val="7F8E6809"/>
    <w:rsid w:val="7F987985"/>
    <w:rsid w:val="7F992C82"/>
    <w:rsid w:val="7F9C63C5"/>
    <w:rsid w:val="7F9E0C2E"/>
    <w:rsid w:val="7FA23301"/>
    <w:rsid w:val="7FAF35C9"/>
    <w:rsid w:val="7FAF535A"/>
    <w:rsid w:val="7FB620B9"/>
    <w:rsid w:val="7FBE4780"/>
    <w:rsid w:val="7FC07CDA"/>
    <w:rsid w:val="7FC33EC6"/>
    <w:rsid w:val="7FD30895"/>
    <w:rsid w:val="7FD52EF4"/>
    <w:rsid w:val="7FE932BA"/>
    <w:rsid w:val="7FEC3423"/>
    <w:rsid w:val="7FFD6B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tLeast"/>
      <w:outlineLvl w:val="0"/>
    </w:pPr>
    <w:rPr>
      <w:rFonts w:ascii="Calibri" w:hAnsi="Calibri" w:cs="Times New Roman"/>
      <w:b/>
      <w:bCs/>
      <w:kern w:val="44"/>
      <w:sz w:val="44"/>
      <w:szCs w:val="44"/>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0"/>
    <w:rPr>
      <w:b/>
      <w:sz w:val="21"/>
      <w:szCs w:val="21"/>
    </w:rPr>
  </w:style>
  <w:style w:type="character" w:styleId="10">
    <w:name w:val="FollowedHyperlink"/>
    <w:basedOn w:val="8"/>
    <w:qFormat/>
    <w:uiPriority w:val="0"/>
    <w:rPr>
      <w:color w:val="4D7AD8"/>
      <w:u w:val="none"/>
    </w:rPr>
  </w:style>
  <w:style w:type="character" w:styleId="11">
    <w:name w:val="HTML Definition"/>
    <w:basedOn w:val="8"/>
    <w:qFormat/>
    <w:uiPriority w:val="0"/>
    <w:rPr>
      <w:i/>
      <w:bdr w:val="single" w:color="D9D9D9" w:sz="6" w:space="0"/>
      <w:shd w:val="clear" w:fill="FFFFFF"/>
    </w:rPr>
  </w:style>
  <w:style w:type="character" w:styleId="12">
    <w:name w:val="Hyperlink"/>
    <w:basedOn w:val="8"/>
    <w:qFormat/>
    <w:uiPriority w:val="0"/>
    <w:rPr>
      <w:color w:val="0000FF"/>
      <w:u w:val="single"/>
    </w:rPr>
  </w:style>
  <w:style w:type="character" w:styleId="13">
    <w:name w:val="HTML Code"/>
    <w:basedOn w:val="8"/>
    <w:qFormat/>
    <w:uiPriority w:val="0"/>
    <w:rPr>
      <w:rFonts w:hint="default" w:ascii="Consolas" w:hAnsi="Consolas" w:eastAsia="Consolas" w:cs="Consolas"/>
      <w:sz w:val="21"/>
      <w:szCs w:val="21"/>
    </w:rPr>
  </w:style>
  <w:style w:type="character" w:styleId="14">
    <w:name w:val="HTML Keyboard"/>
    <w:basedOn w:val="8"/>
    <w:qFormat/>
    <w:uiPriority w:val="0"/>
    <w:rPr>
      <w:rFonts w:ascii="Consolas" w:hAnsi="Consolas" w:eastAsia="Consolas" w:cs="Consolas"/>
      <w:color w:val="666666"/>
      <w:sz w:val="21"/>
      <w:szCs w:val="21"/>
    </w:rPr>
  </w:style>
  <w:style w:type="character" w:styleId="15">
    <w:name w:val="HTML Sample"/>
    <w:basedOn w:val="8"/>
    <w:qFormat/>
    <w:uiPriority w:val="0"/>
    <w:rPr>
      <w:rFonts w:hint="default" w:ascii="Consolas" w:hAnsi="Consolas" w:eastAsia="Consolas" w:cs="Consolas"/>
      <w:sz w:val="21"/>
      <w:szCs w:val="21"/>
    </w:rPr>
  </w:style>
  <w:style w:type="character" w:customStyle="1" w:styleId="16">
    <w:name w:val="first-child2"/>
    <w:basedOn w:val="8"/>
    <w:qFormat/>
    <w:uiPriority w:val="0"/>
    <w:rPr>
      <w:sz w:val="13"/>
      <w:szCs w:val="13"/>
    </w:rPr>
  </w:style>
  <w:style w:type="character" w:customStyle="1" w:styleId="17">
    <w:name w:val="ant-select-tree-switcher"/>
    <w:basedOn w:val="8"/>
    <w:qFormat/>
    <w:uiPriority w:val="0"/>
  </w:style>
  <w:style w:type="character" w:customStyle="1" w:styleId="18">
    <w:name w:val="ant-tree-iconele"/>
    <w:basedOn w:val="8"/>
    <w:qFormat/>
    <w:uiPriority w:val="0"/>
  </w:style>
  <w:style w:type="character" w:customStyle="1" w:styleId="19">
    <w:name w:val="ant-radio+*"/>
    <w:basedOn w:val="8"/>
    <w:qFormat/>
    <w:uiPriority w:val="0"/>
  </w:style>
  <w:style w:type="character" w:customStyle="1" w:styleId="20">
    <w:name w:val="selected4"/>
    <w:basedOn w:val="8"/>
    <w:qFormat/>
    <w:uiPriority w:val="0"/>
  </w:style>
  <w:style w:type="character" w:customStyle="1" w:styleId="21">
    <w:name w:val="selected5"/>
    <w:basedOn w:val="8"/>
    <w:qFormat/>
    <w:uiPriority w:val="0"/>
  </w:style>
  <w:style w:type="character" w:customStyle="1" w:styleId="22">
    <w:name w:val="selected6"/>
    <w:basedOn w:val="8"/>
    <w:qFormat/>
    <w:uiPriority w:val="0"/>
  </w:style>
  <w:style w:type="character" w:customStyle="1" w:styleId="23">
    <w:name w:val="button"/>
    <w:basedOn w:val="8"/>
    <w:qFormat/>
    <w:uiPriority w:val="0"/>
  </w:style>
  <w:style w:type="character" w:customStyle="1" w:styleId="24">
    <w:name w:val="hover19"/>
    <w:basedOn w:val="8"/>
    <w:qFormat/>
    <w:uiPriority w:val="0"/>
    <w:rPr>
      <w:color w:val="009DFF"/>
    </w:rPr>
  </w:style>
  <w:style w:type="character" w:customStyle="1" w:styleId="25">
    <w:name w:val="hover20"/>
    <w:basedOn w:val="8"/>
    <w:qFormat/>
    <w:uiPriority w:val="0"/>
    <w:rPr>
      <w:color w:val="009DFF"/>
    </w:rPr>
  </w:style>
  <w:style w:type="character" w:customStyle="1" w:styleId="26">
    <w:name w:val="ant-tree-switcher"/>
    <w:basedOn w:val="8"/>
    <w:qFormat/>
    <w:uiPriority w:val="0"/>
  </w:style>
  <w:style w:type="character" w:customStyle="1" w:styleId="27">
    <w:name w:val="ant-select-tree-checkbox2"/>
    <w:basedOn w:val="8"/>
    <w:qFormat/>
    <w:uiPriority w:val="0"/>
  </w:style>
  <w:style w:type="character" w:customStyle="1" w:styleId="28">
    <w:name w:val="ant-select-tree-iconele"/>
    <w:basedOn w:val="8"/>
    <w:qFormat/>
    <w:uiPriority w:val="0"/>
  </w:style>
  <w:style w:type="character" w:customStyle="1" w:styleId="29">
    <w:name w:val="ant-tree-checkbox6"/>
    <w:basedOn w:val="8"/>
    <w:qFormat/>
    <w:uiPriority w:val="0"/>
  </w:style>
  <w:style w:type="character" w:customStyle="1" w:styleId="30">
    <w:name w:val="wea-thumbnails-doc-content-subtitle"/>
    <w:basedOn w:val="8"/>
    <w:qFormat/>
    <w:uiPriority w:val="0"/>
    <w:rPr>
      <w:color w:val="9A9A9A"/>
    </w:rPr>
  </w:style>
  <w:style w:type="character" w:customStyle="1" w:styleId="31">
    <w:name w:val="ht_nestinglevel"/>
    <w:basedOn w:val="8"/>
    <w:qFormat/>
    <w:uiPriority w:val="0"/>
  </w:style>
  <w:style w:type="character" w:customStyle="1" w:styleId="32">
    <w:name w:val="ht_nestinglevel_empty"/>
    <w:basedOn w:val="8"/>
    <w:qFormat/>
    <w:uiPriority w:val="0"/>
  </w:style>
  <w:style w:type="character" w:customStyle="1" w:styleId="33">
    <w:name w:val="colheader"/>
    <w:basedOn w:val="8"/>
    <w:qFormat/>
    <w:uiPriority w:val="0"/>
  </w:style>
  <w:style w:type="character" w:customStyle="1" w:styleId="34">
    <w:name w:val="ant-tree-checkbox"/>
    <w:basedOn w:val="8"/>
    <w:qFormat/>
    <w:uiPriority w:val="0"/>
  </w:style>
  <w:style w:type="character" w:customStyle="1" w:styleId="35">
    <w:name w:val="first-child"/>
    <w:basedOn w:val="8"/>
    <w:qFormat/>
    <w:uiPriority w:val="0"/>
    <w:rPr>
      <w:sz w:val="13"/>
      <w:szCs w:val="13"/>
    </w:rPr>
  </w:style>
  <w:style w:type="character" w:customStyle="1" w:styleId="36">
    <w:name w:val="ant-tree-switcher6"/>
    <w:basedOn w:val="8"/>
    <w:qFormat/>
    <w:uiPriority w:val="0"/>
  </w:style>
  <w:style w:type="character" w:customStyle="1" w:styleId="37">
    <w:name w:val="selected"/>
    <w:basedOn w:val="8"/>
    <w:qFormat/>
    <w:uiPriority w:val="0"/>
  </w:style>
  <w:style w:type="character" w:customStyle="1" w:styleId="38">
    <w:name w:val="selected1"/>
    <w:basedOn w:val="8"/>
    <w:qFormat/>
    <w:uiPriority w:val="0"/>
  </w:style>
  <w:style w:type="character" w:customStyle="1" w:styleId="39">
    <w:name w:val="selected2"/>
    <w:basedOn w:val="8"/>
    <w:qFormat/>
    <w:uiPriority w:val="0"/>
  </w:style>
  <w:style w:type="character" w:customStyle="1" w:styleId="40">
    <w:name w:val="ant-select-tree-checkbox"/>
    <w:basedOn w:val="8"/>
    <w:qFormat/>
    <w:uiPriority w:val="0"/>
  </w:style>
  <w:style w:type="character" w:customStyle="1" w:styleId="41">
    <w:name w:val="ant-tree-switcher5"/>
    <w:basedOn w:val="8"/>
    <w:qFormat/>
    <w:uiPriority w:val="0"/>
  </w:style>
  <w:style w:type="character" w:customStyle="1" w:styleId="42">
    <w:name w:val="selected7"/>
    <w:basedOn w:val="8"/>
    <w:qFormat/>
    <w:uiPriority w:val="0"/>
  </w:style>
  <w:style w:type="character" w:customStyle="1" w:styleId="43">
    <w:name w:val="selected11"/>
    <w:basedOn w:val="8"/>
    <w:qFormat/>
    <w:uiPriority w:val="0"/>
  </w:style>
  <w:style w:type="character" w:customStyle="1" w:styleId="44">
    <w:name w:val="selected12"/>
    <w:basedOn w:val="8"/>
    <w:qFormat/>
    <w:uiPriority w:val="0"/>
  </w:style>
  <w:style w:type="character" w:customStyle="1" w:styleId="45">
    <w:name w:val="selected13"/>
    <w:basedOn w:val="8"/>
    <w:qFormat/>
    <w:uiPriority w:val="0"/>
  </w:style>
  <w:style w:type="character" w:customStyle="1" w:styleId="46">
    <w:name w:val="selected8"/>
    <w:basedOn w:val="8"/>
    <w:qFormat/>
    <w:uiPriority w:val="0"/>
  </w:style>
  <w:style w:type="character" w:customStyle="1" w:styleId="47">
    <w:name w:val="selected9"/>
    <w:basedOn w:val="8"/>
    <w:qFormat/>
    <w:uiPriority w:val="0"/>
  </w:style>
  <w:style w:type="character" w:customStyle="1" w:styleId="48">
    <w:name w:val="selected10"/>
    <w:basedOn w:val="8"/>
    <w:qFormat/>
    <w:uiPriority w:val="0"/>
  </w:style>
  <w:style w:type="character" w:customStyle="1" w:styleId="49">
    <w:name w:val="hover18"/>
    <w:basedOn w:val="8"/>
    <w:qFormat/>
    <w:uiPriority w:val="0"/>
    <w:rPr>
      <w:color w:val="009DFF"/>
    </w:rPr>
  </w:style>
  <w:style w:type="character" w:customStyle="1" w:styleId="50">
    <w:name w:val="ant-tree-checkbox5"/>
    <w:basedOn w:val="8"/>
    <w:qFormat/>
    <w:uiPriority w:val="0"/>
  </w:style>
  <w:style w:type="character" w:customStyle="1" w:styleId="51">
    <w:name w:val="ant-tree-switcher4"/>
    <w:basedOn w:val="8"/>
    <w:qFormat/>
    <w:uiPriority w:val="0"/>
  </w:style>
  <w:style w:type="character" w:customStyle="1" w:styleId="52">
    <w:name w:val="hover"/>
    <w:basedOn w:val="8"/>
    <w:qFormat/>
    <w:uiPriority w:val="0"/>
    <w:rPr>
      <w:color w:val="009DFF"/>
    </w:rPr>
  </w:style>
  <w:style w:type="character" w:customStyle="1" w:styleId="53">
    <w:name w:val="hover1"/>
    <w:basedOn w:val="8"/>
    <w:qFormat/>
    <w:uiPriority w:val="0"/>
    <w:rPr>
      <w:color w:val="009DFF"/>
    </w:rPr>
  </w:style>
  <w:style w:type="character" w:customStyle="1" w:styleId="54">
    <w:name w:val="hover15"/>
    <w:basedOn w:val="8"/>
    <w:qFormat/>
    <w:uiPriority w:val="0"/>
    <w:rPr>
      <w:color w:val="009DFF"/>
    </w:rPr>
  </w:style>
  <w:style w:type="character" w:customStyle="1" w:styleId="55">
    <w:name w:val="hover16"/>
    <w:basedOn w:val="8"/>
    <w:qFormat/>
    <w:uiPriority w:val="0"/>
    <w:rPr>
      <w:color w:val="009DFF"/>
    </w:rPr>
  </w:style>
  <w:style w:type="character" w:customStyle="1" w:styleId="56">
    <w:name w:val="ant-tree-checkbox4"/>
    <w:basedOn w:val="8"/>
    <w:qFormat/>
    <w:uiPriority w:val="0"/>
  </w:style>
  <w:style w:type="character" w:customStyle="1" w:styleId="57">
    <w:name w:val="hover17"/>
    <w:basedOn w:val="8"/>
    <w:qFormat/>
    <w:uiPriority w:val="0"/>
    <w:rPr>
      <w:color w:val="009DFF"/>
    </w:rPr>
  </w:style>
  <w:style w:type="character" w:customStyle="1" w:styleId="58">
    <w:name w:val="hover14"/>
    <w:basedOn w:val="8"/>
    <w:qFormat/>
    <w:uiPriority w:val="0"/>
    <w:rPr>
      <w:color w:val="009DFF"/>
    </w:rPr>
  </w:style>
  <w:style w:type="character" w:customStyle="1" w:styleId="59">
    <w:name w:val="hover13"/>
    <w:basedOn w:val="8"/>
    <w:qFormat/>
    <w:uiPriority w:val="0"/>
    <w:rPr>
      <w:color w:val="009DFF"/>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13683</Words>
  <Characters>15000</Characters>
  <Lines>1</Lines>
  <Paragraphs>1</Paragraphs>
  <TotalTime>2</TotalTime>
  <ScaleCrop>false</ScaleCrop>
  <LinksUpToDate>false</LinksUpToDate>
  <CharactersWithSpaces>15060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2023-12-15T03:58:00Z</dcterms:created>
  <dc:creator>admin</dc:creator>
  <cp:lastModifiedBy>左亮</cp:lastModifiedBy>
  <cp:lastPrinted>2026-02-06T07:18:00Z</cp:lastPrinted>
  <dcterms:modified xsi:type="dcterms:W3CDTF">2026-03-13T04:17:39Z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B20D8B5F72404B3391EBD2B4E0C81EBE_13</vt:lpwstr>
  </property>
  <property fmtid="{D5CDD505-2E9C-101B-9397-08002B2CF9AE}" pid="4" name="KSOTemplateDocerSaveRecord">
    <vt:lpwstr>eyJoZGlkIjoiZjNiNGRkNzIwNDhhZDJkNTgzN2EzNjc2NjIxOGZjZjkiLCJ1c2VySWQiOiIxNzEwMjM3NzY5In0=</vt:lpwstr>
  </property>
</Properties>
</file>