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21</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357</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7</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6日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109D1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5C9636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经济降温、通胀率不高，欧央行为何执意紧缩 /</w:t>
      </w:r>
      <w:r>
        <w:rPr>
          <w:rFonts w:hint="eastAsia" w:ascii="Times New Roman" w:hAnsi="Times New Roman" w:eastAsia="方正楷体_GBK" w:cs="Times New Roman"/>
          <w:b/>
          <w:bCs w:val="0"/>
          <w:color w:val="auto"/>
          <w:spacing w:val="-20"/>
          <w:kern w:val="36"/>
          <w:sz w:val="30"/>
          <w:szCs w:val="30"/>
          <w:lang w:val="en-US" w:eastAsia="zh-CN"/>
        </w:rPr>
        <w:t xml:space="preserve"> 02</w:t>
      </w:r>
    </w:p>
    <w:p w14:paraId="21CDDE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2026年全球市场异象背后的结构性逻辑：</w:t>
      </w:r>
    </w:p>
    <w:p w14:paraId="606887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美元周期、政策同步与风险前置效应  /19</w:t>
      </w: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江苏文化中亚行在阿斯塔纳启幕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31</w:t>
      </w:r>
    </w:p>
    <w:p w14:paraId="0040869A">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eastAsia"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深耕中亚链通全球：丰尚以“标准+智造+方案”书写“一带一路”</w:t>
      </w:r>
    </w:p>
    <w:p w14:paraId="0D49E606">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农业合作新篇章</w:t>
      </w:r>
      <w:r>
        <w:rPr>
          <w:rFonts w:hint="eastAsia" w:ascii="Times New Roman" w:hAnsi="Times New Roman" w:eastAsia="方正楷体_GBK" w:cs="Times New Roman"/>
          <w:b w:val="0"/>
          <w:bCs/>
          <w:kern w:val="0"/>
          <w:sz w:val="32"/>
          <w:szCs w:val="32"/>
          <w:lang w:val="en-US" w:eastAsia="zh-CN" w:bidi="ar-SA"/>
        </w:rPr>
        <w:t xml:space="preserve"> </w:t>
      </w:r>
      <w:r>
        <w:rPr>
          <w:rFonts w:hint="eastAsia" w:ascii="Times New Roman" w:hAnsi="Times New Roman" w:eastAsia="方正楷体_GBK" w:cs="Times New Roman"/>
          <w:b/>
          <w:color w:val="auto"/>
          <w:spacing w:val="-11"/>
          <w:kern w:val="36"/>
          <w:sz w:val="30"/>
          <w:szCs w:val="30"/>
          <w:lang w:val="en-US" w:eastAsia="zh-CN"/>
        </w:rPr>
        <w:t>/33</w:t>
      </w:r>
    </w:p>
    <w:p w14:paraId="05B3173F">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 xml:space="preserve">中国信保江苏分公司开展2026年普惠金融服务季活动  </w:t>
      </w:r>
      <w:r>
        <w:rPr>
          <w:rFonts w:hint="eastAsia" w:ascii="Times New Roman" w:hAnsi="Times New Roman" w:eastAsia="方正楷体_GBK" w:cs="Times New Roman"/>
          <w:b/>
          <w:color w:val="auto"/>
          <w:spacing w:val="-11"/>
          <w:kern w:val="36"/>
          <w:sz w:val="30"/>
          <w:szCs w:val="30"/>
          <w:lang w:val="en-US" w:eastAsia="zh-CN"/>
        </w:rPr>
        <w:t>/34</w:t>
      </w:r>
    </w:p>
    <w:p w14:paraId="5ED6037D">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085A8133">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302B3E09">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40C5EB7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pacing w:val="-20"/>
          <w:sz w:val="44"/>
          <w:szCs w:val="44"/>
          <w:highlight w:val="none"/>
          <w:lang w:val="en-US" w:eastAsia="zh-CN"/>
        </w:rPr>
      </w:pPr>
    </w:p>
    <w:p w14:paraId="76B298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pacing w:val="-20"/>
          <w:sz w:val="44"/>
          <w:szCs w:val="44"/>
          <w:highlight w:val="none"/>
          <w:lang w:val="en-US" w:eastAsia="zh-CN"/>
        </w:rPr>
        <w:t>经济降温、通胀率不高，欧央行为何执意紧缩</w:t>
      </w:r>
    </w:p>
    <w:p w14:paraId="49D415F6">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35D19837">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w:t>
      </w:r>
      <w:r>
        <w:rPr>
          <w:rFonts w:hint="eastAsia" w:ascii="Times New Roman" w:hAnsi="Times New Roman" w:eastAsia="方正楷体_GBK" w:cs="Times New Roman"/>
          <w:b w:val="0"/>
          <w:bCs w:val="0"/>
          <w:sz w:val="28"/>
          <w:szCs w:val="28"/>
          <w:lang w:val="en-US" w:eastAsia="zh-CN"/>
        </w:rPr>
        <w:t>6</w:t>
      </w:r>
      <w:r>
        <w:rPr>
          <w:rFonts w:hint="eastAsia" w:ascii="方正楷体_GBK" w:hAnsi="方正楷体_GBK" w:eastAsia="方正楷体_GBK" w:cs="方正楷体_GBK"/>
          <w:b w:val="0"/>
          <w:bCs w:val="0"/>
          <w:sz w:val="28"/>
          <w:szCs w:val="28"/>
          <w:lang w:val="en-US" w:eastAsia="zh-CN"/>
        </w:rPr>
        <w:t>月欧洲央行逆势加息</w:t>
      </w:r>
      <w:r>
        <w:rPr>
          <w:rFonts w:hint="eastAsia" w:ascii="Times New Roman" w:hAnsi="Times New Roman" w:eastAsia="方正楷体_GBK" w:cs="Times New Roman"/>
          <w:b w:val="0"/>
          <w:bCs w:val="0"/>
          <w:sz w:val="28"/>
          <w:szCs w:val="28"/>
          <w:lang w:val="en-US" w:eastAsia="zh-CN"/>
        </w:rPr>
        <w:t>25</w:t>
      </w:r>
      <w:r>
        <w:rPr>
          <w:rFonts w:hint="eastAsia" w:ascii="方正楷体_GBK" w:hAnsi="方正楷体_GBK" w:eastAsia="方正楷体_GBK" w:cs="方正楷体_GBK"/>
          <w:b w:val="0"/>
          <w:bCs w:val="0"/>
          <w:sz w:val="28"/>
          <w:szCs w:val="28"/>
          <w:lang w:val="en-US" w:eastAsia="zh-CN"/>
        </w:rPr>
        <w:t>个基点的决策为核心研究对象，围绕“经济降温、通胀温和背景下为何重启紧缩”这一核心矛盾展开深度分析，属于宏观货币政策、欧元区经济与国际金融交叉研究领域。文章纠正了市场将其定性为“预防性加息”的误读，指出本次加息是应对中东地缘冲突引发能源成本全产业链传导、通胀形成内生粘性的被动应对，本质是吸取</w:t>
      </w:r>
      <w:r>
        <w:rPr>
          <w:rFonts w:hint="eastAsia" w:ascii="Times New Roman" w:hAnsi="Times New Roman" w:eastAsia="方正楷体_GBK" w:cs="Times New Roman"/>
          <w:b w:val="0"/>
          <w:bCs w:val="0"/>
          <w:sz w:val="28"/>
          <w:szCs w:val="28"/>
          <w:lang w:val="en-US" w:eastAsia="zh-CN"/>
        </w:rPr>
        <w:t>2022</w:t>
      </w:r>
      <w:r>
        <w:rPr>
          <w:rFonts w:hint="eastAsia" w:ascii="方正楷体_GBK" w:hAnsi="方正楷体_GBK" w:eastAsia="方正楷体_GBK" w:cs="方正楷体_GBK"/>
          <w:b w:val="0"/>
          <w:bCs w:val="0"/>
          <w:sz w:val="28"/>
          <w:szCs w:val="28"/>
          <w:lang w:val="en-US" w:eastAsia="zh-CN"/>
        </w:rPr>
        <w:t>年政策滞后教训的纠错式调整。研究进一步揭示了欧元区实体与金融脱钩、资本外流加剧汇率贬值与输入型通胀的结构性风险，以及全球货币紧缩周期下欧美利差对宽松空间的外部约束。文章最后结合欧央行单一通胀目标的制度约束，阐明其以短期增长代价换取长期物价稳定的政策权衡，揭示了欧元区高粘性通胀、弱增长的中期格局及其外溢影响。</w:t>
      </w:r>
    </w:p>
    <w:p w14:paraId="0010ADB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4E18FB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6月11日，欧洲央行公布重磅利率决议，宣布加息25个基点。本次加息不仅重塑欧元资产定价逻辑，更扰动了全球货币政策节奏。这是欧元区三年来首次重启加息，也是全球主要经济体中，首个针对中东战事引发的能源通胀冲击，主动终结降息周期、重回紧缩通道的央行。</w:t>
      </w:r>
    </w:p>
    <w:p w14:paraId="4882276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决议落地后，欧元区三大核心利率同步上调，调整将于6月17日正式生效：存款机制利率（银行存放在欧央行的隔夜利率，为市场资金成本基准）升至2.25%，主要再融资利率（银行常规向央行融资的基准利率）升至2.40%，边际借贷利率（银行应急融资利率，代表短期资金利率上限）升至2.65%。</w:t>
      </w:r>
    </w:p>
    <w:p w14:paraId="35AFF68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但本轮加息，自落地之初便伴随强烈的市场争议。</w:t>
      </w:r>
    </w:p>
    <w:p w14:paraId="2F6C459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市场直观视角来看，本次加息看似完全不合逻辑：欧元区经济持续降温、企业破产数量大幅攀升、内需持续走弱。与此同时，当前3.2%的通胀水平，相较于2022年两位数的恶性通胀，已回落至相对温和区间。经济走冷、通胀温和，央行却逆势重启紧缩，这是市场对本轮欧央行决策最大的困惑与矛盾。</w:t>
      </w:r>
    </w:p>
    <w:p w14:paraId="6339191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但结合欧洲央行最新经济预测、金融稳定报告、行长官方表态以及全球资本流动格局来看，这场看似反常的加息，实则是多重风险倒逼下，央行做出的理性且无奈的选择。</w:t>
      </w:r>
    </w:p>
    <w:p w14:paraId="2ABE80A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一、什么是危险的“顽固通胀”</w:t>
      </w:r>
    </w:p>
    <w:p w14:paraId="0F65DD2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市场对本次加息的普遍质疑，源于一个直观判断：当前3.2%的CPI涨幅，算不上高通胀，央行没必要为压制物价而拖累经济。这种看法符合大众体感，但央行制定政策，并非只看通胀绝对数值，更要判断物价是否偏离政策目标、是否形成内生上涨动力，以及会不会催生长期涨价预期。</w:t>
      </w:r>
    </w:p>
    <w:p w14:paraId="7491924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5月，欧元区CPI同比上涨3.2%，核心CPI同比上涨2.5%。两项数据虽然高于欧央行2%的通胀目标，单从数字差距来看，通胀压力看似不算极端，可深入剖析物价结构就能发现，本轮通胀的内在逻辑早已发生根本性转变。</w:t>
      </w:r>
    </w:p>
    <w:p w14:paraId="157A385A">
      <w:pPr>
        <w:keepNext w:val="0"/>
        <w:keepLines w:val="0"/>
        <w:pageBreakBefore w:val="0"/>
        <w:widowControl w:val="0"/>
        <w:tabs>
          <w:tab w:val="left" w:pos="618"/>
        </w:tabs>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方正仿宋_GBK" w:cs="Times New Roman"/>
          <w:b w:val="0"/>
          <w:bCs w:val="0"/>
          <w:sz w:val="32"/>
          <w:szCs w:val="32"/>
        </w:rPr>
      </w:pPr>
      <w:r>
        <w:drawing>
          <wp:inline distT="0" distB="0" distL="114300" distR="114300">
            <wp:extent cx="5053330" cy="2155825"/>
            <wp:effectExtent l="0" t="0" r="1397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053330" cy="2155825"/>
                    </a:xfrm>
                    <a:prstGeom prst="rect">
                      <a:avLst/>
                    </a:prstGeom>
                    <a:noFill/>
                    <a:ln>
                      <a:noFill/>
                    </a:ln>
                  </pic:spPr>
                </pic:pic>
              </a:graphicData>
            </a:graphic>
          </wp:inline>
        </w:drawing>
      </w:r>
    </w:p>
    <w:p w14:paraId="3BEFC6E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（注：HICP，Harmonised Index of Consumer Prices，协调消费者价格指数，本质上就是欧元区版本的CPI）</w:t>
      </w:r>
    </w:p>
    <w:p w14:paraId="494CD0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2021年下半年至2022年上半年通胀初起时，价格波动主要集中在能源、食品两大品类。这类商品受外部环境影响极大，价格涨跌节奏快、持续性弱，属于典型的短期扰动因素。如今形势已然不同，中东地缘冲突推高能源价格后，成本压力完成了全产业链传导。能源涨价的成本压力完成了跨行业的系统性传导，层层渗透到运输、化工、制造、服务等各行各业，最终体现在居民日常消费的每一笔账单上。</w:t>
      </w:r>
    </w:p>
    <w:p w14:paraId="1253E50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央行在利率决议发布会中明确表示：当前服务行业价格上行，已经无法单纯归咎于能源冲击。这意味着通胀不再是单一的外部输入性压力，而是逐步演变为扎根于经济体内部的内生涨价动力，管控难度大幅提升。</w:t>
      </w:r>
    </w:p>
    <w:p w14:paraId="3894032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除此之外，市场还容易被基数效应误导。受去年同期物价高基数影响，今年的同比数据看似有所回落，营造出通胀逐步降温的假象。但抛开短期数据扰动，代表通胀真实底色的核心通胀始终居高不下，上涨态势并未真正消退。</w:t>
      </w:r>
    </w:p>
    <w:p w14:paraId="065659E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面对这种局面，欧洲央行管理委员会多位成员都表达了一致看法，斯洛伐克央行行长、欧央行管委会成员彼得・卡西米尔便是其中代表。他多次公开提醒，即便未来中东局势走向缓和、国际能源价格回落，欧元区通胀也难以在短时间内回落至2%的目标水平。地缘冲突造成产能受损、供应链断裂，整个生产流通体系的修复、重构都需要漫长周期，能源高成本的状态大概率会长期延续，通胀的粘性也会因此持续存在。</w:t>
      </w:r>
    </w:p>
    <w:p w14:paraId="74C18A0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二、并非“预防性加息”</w:t>
      </w:r>
    </w:p>
    <w:p w14:paraId="20113D1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本轮加息决策公布后，市场出现一种温和解读，将本次加息定义为典型的“保险式预防性加息”。多数观点认为，当前欧元区并未出现失控性通胀，且经济下行压力已然显现，欧洲央行此番加息，更多是提前布局、防范远期通胀风险，属于偏谨慎的前置避险操作，而非应对当下真实存在的物价压力。</w:t>
      </w:r>
    </w:p>
    <w:p w14:paraId="6D8C2C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此，欧洲央行行长拉加德在6月11日的决议记者会上，直接做出明确的官方纠正与定性解释：本次加息绝非预防性加息。政策决策的核心依据，是今年3月以来中东地缘冲突持续发酵，能源价格冲击的强度、持续时间均大幅超出市场与央行前期预判，实体经济已经持续承受输入性通胀压力。本次加息，是对当下已经发生、且不断恶化的现实风险做出的被动应对，并非提前赌风险。同时本次决议获得管委会全员全票通过，全程无分歧、无争议，体现出政策判断的高度统一。</w:t>
      </w:r>
    </w:p>
    <w:p w14:paraId="6875E6E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央行此次坚决、果断的紧缩动作，本质上是深刻吸取了2022年的政策经验教训，是一次典型的纠错式政策调整。</w:t>
      </w:r>
    </w:p>
    <w:p w14:paraId="1B55F7A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2022年欧洲能源危机爆发初期，面对突如其来的能源涨价，欧洲央行一度将其判定为短期一次性外部冲击，误判了风险的持续性与传导性，政策应对节奏明显滞后。短暂的观望与宽松滞后，让原本局限于能源领域的局部通胀，快速扩散至全产业链、商品与服务领域。最终演化成全域物价普涨、工资物价螺旋抬升、市场通胀预期彻底脱锚的失控局面，当年欧元区通胀峰值一度飙升至10.6%，对居民购买力、企业经营体系造成了深度破坏。</w:t>
      </w:r>
    </w:p>
    <w:p w14:paraId="4066D68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经历过完整的通胀失控周期后，欧洲央行的政策逻辑变得极度清晰且坚决：通胀不怕短期暴涨，最怕长期粘连固化。快速冲高的通胀可以通过及时政策调控快速修正，但一旦通胀扎根预期、形成惯性，治理难度与经济代价将成倍上升。</w:t>
      </w:r>
    </w:p>
    <w:p w14:paraId="6271625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放到2026年当前环境来看，欧元区薪资整体增速已经有所放缓，劳动力市场暂时没有出现薪资暴涨驱动物价的第二轮恶性通胀效应，整体物价看似相对平稳。但隐藏在数据背后的是，企业端的原材料、中间品、生产投入成本始终在持续上行，实体经营成本压力层层累积。在成本刚性约束下，企业只能通过上调终端售价转嫁压力，市场通胀固化的苗头已经逐步显现。</w:t>
      </w:r>
    </w:p>
    <w:p w14:paraId="34612BC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旦企业、居民、劳务市场形成“长期通胀持续偏高”的一致心理预期，市场行为将发生系统性偏移：企业常态化上调产品与服务价格、劳动者刚性要求薪资上涨、租赁与服务市场持续提价，最终形成自我循环、自我强化的通胀闭环，届时再想压低通胀、锚定预期，难度将大幅提升。</w:t>
      </w:r>
    </w:p>
    <w:p w14:paraId="3EADD58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指出的是，加息对成本推升型通胀的压制路径，与需求拉动型通胀存在本质差异，不可混同。传统货币紧缩逻辑是通过抬高融资成本、压缩信贷，削减消费与投资需求，进而传导至终端物价回落。但当前欧元区通胀的核心驱动力，是能源与中间品成本的供给侧冲击，而非需求过热——这意味着加息并不能直接消除成本压力本身。</w:t>
      </w:r>
    </w:p>
    <w:p w14:paraId="4A006D4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那么加息为何仍然必要？其作用机制在于两个间接渠道：其一，通过需求端降温，压缩企业的价格转嫁空间。在需求疲软的市场环境下，企业将成本涨幅完整转嫁给消费者的能力受到约束，有助于阻断成本-价格的完整传导链条。其二，更为关键的是预期管理：货币政策的紧缩信号，直接影响企业定价行为与劳动力市场的薪资谈判预期。一旦市场相信央行会坚定捍卫2%目标，通胀预期便不容易脱锚，工资-物价的螺旋效应也更难形成。</w:t>
      </w:r>
    </w:p>
    <w:p w14:paraId="6AF4AEF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这一传导路径并非没有代价：在供给约束未解除的前提下，加息压需求所换来的物价降幅，注定是有限且缓慢的，而对实体经济的抑制效果却是即时且直接的。这正是本轮政策最具争议性的内在代价——欧央行实质上是在用“确定性的增长损失”换取“不确定性的通胀压制效果”。</w:t>
      </w:r>
    </w:p>
    <w:p w14:paraId="6E54E74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比权衡来看，加息带来的短期经济放缓在政策制定者的预期范围之内，但其实际冲击是否可控，仍取决于欧元区实体经济对紧缩的承受能力，这也是政策风险讨论的核心所在；而通胀预期彻底脱锚、物价体系长期紊乱，却是欧洲央行绝对无法承受的长期代价。</w:t>
      </w:r>
    </w:p>
    <w:p w14:paraId="4DEF7AE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三、实体金融脱钩与资本外流的双重压力</w:t>
      </w:r>
    </w:p>
    <w:p w14:paraId="037CC21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说顽固的内生通胀粘性，是本次欧央行重启加息、对冲物价风险的内部核心动因，那么欧元区当下实体经济与金融市场的割裂和背离，就是支撑本轮紧缩的底层风险背景。这也是普通市场参与者觉得本次政策决策自相矛盾的根本原因：肉眼可见的经济走冷之下，央行依旧选择加码紧缩，其真正顾虑，早已超越单纯的物价数据，指向更深层的结构性失衡风险。</w:t>
      </w:r>
    </w:p>
    <w:p w14:paraId="7ACFFBD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欧洲央行2026年5月发布的《金融稳定报告》，精准揭示了欧元区当下罕见的经济金融背离走势，这种互相割裂的运行格局，正在持续累积隐性系统性风险，也是货币政策必须主动收紧的底层逻辑。</w:t>
      </w:r>
    </w:p>
    <w:p w14:paraId="0CD03CE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实体经济维度来看，欧元区的下行压力已经全面显性化。随着新冠疫情期间各类财政扶持、信贷托底政策全面退出，前期被政策兜底掩盖的实体风险集中出清，最直观的表现就是企业经营压力陡增，市场破产数量大幅飙升，整体频次与规模已经远超疫情前的常态水平，中小企业生存环境持续恶化。</w:t>
      </w:r>
    </w:p>
    <w:p w14:paraId="42A65D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作为欧元区经济增长核心引擎、制造业支柱的德国，经济疲软问题更为突出，新创企业净就业人口直接转负，意味着市场不仅不再新增优质就业岗位，反而持续消化存量就业，区域创业活力、产业创新动力与就业创造能力出现塌陷，最终直接拖累居民收入与消费意愿。目前，整个欧元区家庭内需持续疲软、消费复苏乏力。</w:t>
      </w:r>
    </w:p>
    <w:p w14:paraId="395271B9">
      <w:pPr>
        <w:keepNext w:val="0"/>
        <w:keepLines w:val="0"/>
        <w:pageBreakBefore w:val="0"/>
        <w:widowControl w:val="0"/>
        <w:tabs>
          <w:tab w:val="left" w:pos="618"/>
        </w:tabs>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drawing>
          <wp:inline distT="0" distB="0" distL="114300" distR="114300">
            <wp:extent cx="4085590" cy="2839085"/>
            <wp:effectExtent l="0" t="0" r="10160" b="1841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6"/>
                    <a:stretch>
                      <a:fillRect/>
                    </a:stretch>
                  </pic:blipFill>
                  <pic:spPr>
                    <a:xfrm>
                      <a:off x="0" y="0"/>
                      <a:ext cx="4085590" cy="2839085"/>
                    </a:xfrm>
                    <a:prstGeom prst="rect">
                      <a:avLst/>
                    </a:prstGeom>
                  </pic:spPr>
                </pic:pic>
              </a:graphicData>
            </a:graphic>
          </wp:inline>
        </w:drawing>
      </w:r>
    </w:p>
    <w:p w14:paraId="0F9EA59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与冰冷的实体数据形成强烈反差的是，欧元区金融体系表面依旧维持平稳态势。当前银行业不良贷款率、整体金融脆弱性等核心监测指标并未出现明显恶化，看似风险可控、整体稳健。究其原因，并非实体经济风险消解，而是银行依托过往多年积累的经营利润与充足资本缓冲，暂时对冲、掩盖了实体违约压力，这仅仅是将风险延后、递延，而非彻底出清。在这种金融“假性平稳”的掩护下，市场极易低估实体经济的深层隐患。</w:t>
      </w:r>
    </w:p>
    <w:p w14:paraId="548ACCA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值得警惕的是，跨境资本与非银金融机构的逐利行为，进一步放大了结构性失衡。在前一轮长期低利率、流动性宽松的货币环境中，大量跨国热钱、对冲基金、资管机构等非银行金融机构持续涌入欧元区，依托低成本资金持续炒作权益、固收等各类资产，逐步吹大脱离实体经济基本面的金融泡沫。当前实体走弱、风险抬头、全球货币政策分化的背景下，这类风险敏感型资金已经开启高位套现模式，通过抛售欧元区资产、兑换美元的方式持续撤离欧洲市场。</w:t>
      </w:r>
    </w:p>
    <w:p w14:paraId="3577D1C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组“实体持续恶化、金融泡沫虚热、资本高位出逃”的三组画面，暗藏欧元区当下较为隐蔽的系统性风险：实体经济的衰退压力、企业经营的违约风险，只是被金融泡沫的繁荣假象与银行的资本缓冲暂时遮蔽，风险并未消失，只是处于潜伏、累积的状态，一旦缓冲耗尽、泡沫破裂，风险将集中爆发。</w:t>
      </w:r>
    </w:p>
    <w:p w14:paraId="1209EE7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而跨境资本的持续撤离，又通过两条路径进一步收窄欧央行的政策空间。</w:t>
      </w:r>
    </w:p>
    <w:p w14:paraId="2577092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大规模欧元抛售、美元兑换直接压制欧元汇率，持续带来贬值压力。欧洲是典型的资源进口型经济体，能源、工业大宗商品高度依赖海外进口，欧元汇率走弱会直接抬升进口成本，再度催生输入型通胀压力，形成“资本外流-欧元贬值-输入通胀反弹”的恶性闭环，进一步加固通胀粘性。</w:t>
      </w:r>
    </w:p>
    <w:p w14:paraId="5EE00A3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跨境资本是欧元区金融市场重要的流动性来源，大规模持续撤离会造成市场流动性被动收紧。原本就身处经营寒冬的中小企业，融资渠道进一步收窄、融资成本持续走高，经营困境再度加剧，直接推高市场破产潮，形成“金融收紧-实体承压-风险扩散”的负向循环。</w:t>
      </w:r>
    </w:p>
    <w:p w14:paraId="2D68AD1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站在欧央行的政策视角，当下已难以延续过往的宽松货币、降息放水周期。如果继续维持宽松、释放流动性，不仅无法真正提振实体经济，反而会进一步滋长金融空转、助长资产泡沫，加速跨境资本出逃。最终可能同时触发两类风险：一是泡沫持续膨胀埋下未来崩盘隐患，二是资本外流与汇率贬值形成输入通胀的强化回路，进一步侵蚀实体经济的运行基础。这正是经济走弱的背景下，欧央行依然必须逆势加息、主动收紧的核心结构性逻辑。</w:t>
      </w:r>
    </w:p>
    <w:p w14:paraId="6F3BC4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四、全球央行周期分化，锁死欧洲降息空间</w:t>
      </w:r>
    </w:p>
    <w:p w14:paraId="2155655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抛开欧元区本土的通胀结构与实体金融脱钩问题，本轮欧央行重启加息，并非单一经济体的独立政策操作，而是全球货币周期拐点切换下的被动适配行为。全球货币政策格局的重塑，从外部硬性锁死了欧洲央行的宽松退路，也是本次逆势紧缩的外部宏观背景。</w:t>
      </w:r>
    </w:p>
    <w:p w14:paraId="004DA56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球流动性格局在2026年迎来了关键性反转。数据显示，自今年4月起，全球88家主要央行中，选择加息的央行数量正式超越降息央行，这是自2023年8月全球货币政策进入宽松通道以来，首次出现方向性逆转，标志着全球整体宽松周期彻底落幕，紧缩氛围持续蔓延。</w:t>
      </w:r>
    </w:p>
    <w:p w14:paraId="58C589B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发达经济体的政策转向趋势尤为明显，G10经济体中已有半数国家重新进入加息循环，全球货币政策彻底告别同步宽松、走向结构性分化。其中，澳洲央行已落地三次连续加息，率先开启紧缩加码模式；长期维持超宽松货币政策的日本央行，也结束多年宽松常态，即将重启加息操作；而市场关注度最高的美联储、英国央行，虽未继续加息、暂时维持利率不变，但已彻底删除政策框架内的宽松预期，明确放弃年内降息可能，坚定维持高位高利率格局，持续收紧全球美元、英镑流动性。</w:t>
      </w:r>
    </w:p>
    <w:p w14:paraId="05DD79A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全球流动性整体收紧、主流经济体坚守高利率的大环境下，欧美之间的货币政策利差长期存在、难以收窄，形成了持续的资本虹吸效应。美元凭借高位利率、全球避险货币的双重优势，成为全球资本的核心避险与增值标的，持续吸引全球资金回流。</w:t>
      </w:r>
    </w:p>
    <w:p w14:paraId="635BEA1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格局彻底锁死了欧洲央行的宽松空间。倘若欧央行无视全球周期、逆势延续降息或维持宽松政策，将进一步拉大欧美货币利差，加剧跨境资本的逐利出逃行为。大规模资本会持续抛售欧元股票、债券等各类欧元资产，加速资金回流美元资产，直接引发三重连锁风险：欧元汇率持续贬值、海外大宗商品与能源输入成本抬升催生输入型通胀、市场流动性被动收紧压制实体融资。多重压力叠加，会彻底打破欧元区经济金融的脆弱平衡。</w:t>
      </w:r>
    </w:p>
    <w:p w14:paraId="06D0B33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由此可见，欧央行本次加息的底层逻辑具备双重属性：对内，是为了压制顽固内生通胀、阻断物价与预期的自我强化循环；对外，则是被动适配全球紧缩周期，通过适度收紧货币政策缩小利差、稳住资本与汇率，守住欧元区金融市场与物价体系的底线，避免在全球货币分化浪潮中陷入被动失控的局面。</w:t>
      </w:r>
    </w:p>
    <w:p w14:paraId="0CFA336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五、欧央行的终极权衡与后市展望</w:t>
      </w:r>
    </w:p>
    <w:p w14:paraId="5182645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透过通胀结构、实体脱钩、全球货币周期层层逻辑，最终可以看清欧央行本轮决策的核心本质——一场不得已的政策权衡与取舍。结合欧洲央行最新更新的经济预测数据，政策两难的矛盾被体现得淋漓尽致：央行将2026年欧元区整体通胀预期上调至3%，同时大幅下调全年GDP增速预期至0.8%。一升一降的数据调整，精准勾勒出欧洲当下最棘手的经济困局：通胀韧性持续超预期，经济增长动力持续走弱。</w:t>
      </w:r>
    </w:p>
    <w:p w14:paraId="1907641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央行确实陷入了典型的双向博弈困境：选择加息收紧货币，虽然能够有效压制通胀惯性、锚定市场预期，但会进一步抬升社会融资成本，对本就疲软的消费、投资与实体经济形成二次打压，加剧经济下行压力；反之，若选择维持宽松、放任通胀自然运行，短期可以稳住经济增长、缓解实体压力，但顽固的内生通胀会彻底扎根市场预期，形成长期固化的物价惯性。长此以往，欧元区将大概率陷入低增长、高粘性通胀的滞胀格局，这是所有成熟经济体最忌惮、也最难修复的滞胀困境。</w:t>
      </w:r>
    </w:p>
    <w:p w14:paraId="7D08EE8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管委会内部并非没有异见。鸽派成员的核心顾虑集中于三点：第一，欧元区经济基本面的脆弱程度，可能远超25bp加息所能承受的边际冲击，德国制造业的持续收缩已显示出结构性而非周期性的衰退特征；第二，当前核心通胀下行趋势尚在，贸然加息存在政策超调风险，若半年后通胀因需求塌陷而快速下破目标，央行将被迫仓促转向，损害政策公信力；第三，25个基点的升息对跨境资本流向的实际影响有限，无法根本性改变欧美利差格局，却要欧元区实体经济为此付出实质代价。</w:t>
      </w:r>
    </w:p>
    <w:p w14:paraId="273E52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顾虑并非无据，也是本次决议尽管全票通过，但会后市场仍存在争议的深层原因。欧央行选择加息，本质上是在两种不确定性之间做了一个判断：放任通胀预期脱锚的长期风险，大于短期经济降温的确定性代价。这个判断在逻辑上成立，但其前提假设——通胀内生粘性足够强、预期脱锚的威胁足够真实——在未来数个季度仍有待数据验证。</w:t>
      </w:r>
    </w:p>
    <w:p w14:paraId="767DC51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但欧洲央行特殊的制度设计，进一步锁死了最终的决策方向，几乎消除了政策摇摆的空间。与美联储“</w:t>
      </w:r>
      <w:r>
        <w:rPr>
          <w:rFonts w:hint="eastAsia" w:ascii="Times New Roman" w:hAnsi="Times New Roman" w:eastAsia="方正仿宋_GBK" w:cs="Times New Roman"/>
          <w:b w:val="0"/>
          <w:bCs w:val="0"/>
          <w:sz w:val="32"/>
          <w:szCs w:val="32"/>
          <w:lang w:eastAsia="zh-CN"/>
        </w:rPr>
        <w:t>稳</w:t>
      </w:r>
      <w:r>
        <w:rPr>
          <w:rFonts w:hint="eastAsia" w:ascii="Times New Roman" w:hAnsi="Times New Roman" w:eastAsia="方正仿宋_GBK" w:cs="Times New Roman"/>
          <w:b w:val="0"/>
          <w:bCs w:val="0"/>
          <w:sz w:val="32"/>
          <w:szCs w:val="32"/>
        </w:rPr>
        <w:t>物价、促就业”的双重目标制不同，欧央行实行单一通胀目标制，其在法律框架下承担的唯一职责，就是守住2%的物价稳定目标。在当前通胀持续偏离目标、内生涨价风险持续累积的背景下，从制度层面而言，央行维持按兵不动的政策立场难以成立，必须主动出手对冲通胀风险、履行法定职责。</w:t>
      </w:r>
    </w:p>
    <w:p w14:paraId="061AF76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基于制度约束与风险权衡，欧央行选择主动接受短期经济降温、增长放缓的阶段性阵痛，通过温和紧缩的货币政策，彻底阻断通胀自我强化的惯性，压制内生物价动力，以短期小幅牺牲增长为代价，换取长期物价体系稳定，同时重塑并守住自身的货币政策公信力，避免重蹈2022年政策失位、通胀失控的覆辙。</w:t>
      </w:r>
    </w:p>
    <w:p w14:paraId="4837A8F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市场反馈来看，本次25个基点的温和加息完全符合市场预判，早在决议落地前，市场就已充分消化本轮紧缩预期，因此并未引发资产剧烈波动。欧元汇率、欧洲主要股指与德债等核心资产走势平稳，没有出现大幅震荡行情，体现出市场对本次政策调整的高度认可。</w:t>
      </w:r>
    </w:p>
    <w:p w14:paraId="4935B5C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同时，市场主流共识明确：本轮重启加息，并非新一轮激进紧缩周期的开端。当前全球经济整体复苏乏力、需求普遍偏弱，欧元区实体经济根基薄弱、企业经营压力持续存在，疲软的基本面完全无法支撑持续、大幅的加息操作。未来全球货币政策将延续局部加息、整体分化的格局，各国央行将完全基于本土通胀、增长、汇率情况独立调控，不再出现全球同步松紧的局面。</w:t>
      </w:r>
    </w:p>
    <w:p w14:paraId="62A7960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央行也明确释放灵活政策信号，拒绝固化利率路径、不预设后续加息或降息节奏。后续政策调整将持续追踪三项关键变量：能源冲击的强度与持续时长、核心通胀的回落速度与粘性程度，以及薪资增长是否触发第二轮通胀效应。政策走向完全随基本面动态调整，保留了充足的灵活空间。</w:t>
      </w:r>
    </w:p>
    <w:p w14:paraId="5018259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结语</w:t>
      </w:r>
    </w:p>
    <w:p w14:paraId="372F905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欧央行逆势加息的操作，与部分市场参与者的直观预判存在明显背离。多数人习惯于依据当下经济冷热、通胀高低评判政策合理性，但成熟经济体的货币政策，不止于盯着即时数据做被动应对，而是立足中长期维度，提前对冲未来的通胀惯性、预期风险与结构性危机。</w:t>
      </w:r>
    </w:p>
    <w:p w14:paraId="334AA68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场看似矛盾的“经济降温阶段逆势加息”，背后是一套完整且严密的逻辑闭环：对内，是修正过往政策失误、破解通胀内生粘性、防范滞胀风险、守住物价稳定底线；同时，化解实体与金融的结构性脱钩风险、抑制金融空转泡沫；对外，是适配全球货币紧缩周期、平衡欧美利差、稳住跨境资本流动与欧元汇率。多重约束层层叠加，最终促成了本次看似反常、实则有据可循的加息决策。</w:t>
      </w:r>
    </w:p>
    <w:p w14:paraId="21EB2D9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全球投资者而言，本次加息绝非一次简单的政策微调，而是明确释放信号：欧元区正式告别宽松红利，在能源冲击持续、供给约束未解除的基准情景下，高粘性通胀、温和高利率与弱增长的组合，将是欧元区经济较大概率面临的中期格局。</w:t>
      </w:r>
    </w:p>
    <w:p w14:paraId="3CB8A1C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以下就中欧贸易格局的近期变化作一补充说明，为有兴趣深入的读者提供结构性侧面参考。</w:t>
      </w:r>
    </w:p>
    <w:p w14:paraId="23F5FE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全年，中国大陆与欧盟的进出口总额为8281.2亿美元，同比增长5.4%。其中，对欧盟出口额为5599.5亿美元，同比增长8.4%；对欧盟顺差额为2917.8亿美元（历史首次超过对美顺差），同比增长约16.8%。2026年1-5月，这一趋势进一步加速，双边贸易额同比增长13.9%，对欧顺差同比扩大约23.1%。</w:t>
      </w:r>
    </w:p>
    <w:p w14:paraId="7AE1158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这一贸易数据背后，有两条值得分别审视的逻辑线。</w:t>
      </w:r>
    </w:p>
    <w:p w14:paraId="1CD0B7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就欧元区而言，中欧顺差的持续扩大，成因需要拆分看待。其中相当部分反映的并非欧元区进口需求的主动扩张，而是欧元区自身出口竞争力的结构性下滑——尤其是德国制造业在能源成本冲击下的议价能力减弱，导致贸易逆差被动扩大。这一区分在政策含义上至关重要：前者意味着需求旺盛、可通过紧缩压制；后者意味着供给侧结构受损，货币政策对贸易失衡本身的纠偏能力极为有限。</w:t>
      </w:r>
    </w:p>
    <w:p w14:paraId="5BD9236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无论成因如何，在本土制造业持续收缩、可替代供给来源短期难以建立的条件下，欧元区对华进口的替代弹性客观上已有所下降，结构性进口依赖趋于加深。这一特征的政策含义在于：欧元贬值带来的进口成本上升，将因替代渠道受阻而更完整地传导至终端价格——输入性通胀的覆盖范围将不再局限于能源与大宗商品，而是延伸至制造业中间品与日用消费品。换言之，汇率对通胀的传导系数，在当前供给结构下实际上高于历史均值。这正是欧央行在汇率管理上不得不维持政策主动性的现实约束：放任欧元承压，意味着接受一条额外的、且难以对冲的通胀输入渠道。</w:t>
      </w:r>
    </w:p>
    <w:p w14:paraId="5E42197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就中国而言，欧盟目前是中国商品出口的最大单一目的地之一，欧元区的内需走势与汇率波动对中国出口的边际影响不可低估。欧央行此轮紧缩若如预期压制欧元区消费需求，叠加欧元汇率可能的阶段性走强，中国出口商将同时面临量价两端的压力调整。这一外部变量的权重，在当前中国出口高度依赖欧洲市场的结构下，值得政策层面给予持续关注</w:t>
      </w:r>
      <w:r>
        <w:rPr>
          <w:rFonts w:hint="eastAsia" w:ascii="Times New Roman" w:hAnsi="Times New Roman" w:eastAsia="方正仿宋_GBK" w:cs="Times New Roman"/>
          <w:b w:val="0"/>
          <w:bCs w:val="0"/>
          <w:sz w:val="32"/>
          <w:szCs w:val="32"/>
          <w:lang w:eastAsia="zh-CN"/>
        </w:rPr>
        <w:t>。</w:t>
      </w:r>
    </w:p>
    <w:p w14:paraId="7D8E011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左亮、刘浩</w:t>
      </w:r>
      <w:r>
        <w:rPr>
          <w:rFonts w:hint="default" w:ascii="Times New Roman" w:hAnsi="Times New Roman" w:eastAsia="方正楷体_GBK" w:cs="方正楷体_GBK"/>
          <w:b/>
          <w:bCs/>
          <w:color w:val="FF0000"/>
          <w:spacing w:val="0"/>
          <w:kern w:val="2"/>
          <w:sz w:val="30"/>
          <w:szCs w:val="30"/>
          <w:lang w:val="en-US" w:eastAsia="zh-CN" w:bidi="ar-SA"/>
        </w:rPr>
        <w:t>）</w:t>
      </w:r>
    </w:p>
    <w:p w14:paraId="451BB662">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14D8B3CA">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E88F734">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0A262FFD">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559EE9D">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9832B5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75AF10B">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828B347">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F46A036">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7D1207A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13930E2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65B5A318">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4B101BAC">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6FC12B4">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1E3664F3">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8B311C3">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05E2419D">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91BB56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C116BD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pPr>
    </w:p>
    <w:p w14:paraId="69C17D6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pPr>
    </w:p>
    <w:p w14:paraId="66FF9C7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t>2026年全球市场异象背后的结构性逻辑：美元周期、政策同步与风险前置效应</w:t>
      </w:r>
    </w:p>
    <w:p w14:paraId="32BBECF5">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FBC273B">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年中全球资本市场集中显现的多重错位异象为研究切入点，围绕美元周期传导机制、全球政策分化逻辑与风险前置效应展开系统性研究，属于全球宏观金融、国际资产定价与货币周期交叉研究领域。文章针对欧日经济承压却逆势收紧货币政策、</w:t>
      </w:r>
      <w:r>
        <w:rPr>
          <w:rFonts w:hint="default"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产业链高投入与高估值并存、新兴市场货币持续承压、美债天量到期再融资等看似独立的现象，揭示其共同的结构性驱动因素：高位美元利率与大规模美债再融资形成的全球资本虹吸效应。研究通过与三次重大历史危机多维度对比，评估当前市场缓冲条件与风险差异，并推演三种未来情景，为研判全球金融走势提供完整分析框架。</w:t>
      </w:r>
    </w:p>
    <w:p w14:paraId="3A7020A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6FD061C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2026年年中，全球资本市场出现了一系列在同一时间窗口集中显现的市场现象。这些现象如果分开来看，似乎各自有其逻辑，但放在一起却让人感到某种程度的错位。</w:t>
      </w:r>
    </w:p>
    <w:p w14:paraId="2A4F245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和日本经济增速放缓、制造业与消费数据持续承压，央行却在近期选择维持或进一步收紧货币政策。人工智能产业链上下游企业全年资本开支规模达到数千亿美元级别，远高于当前形成的营收，但相关资产的估值依然处于高位运行。SpaceX在6月中旬完成了历史上最大规模的IPO，募资约750亿美元。部分亚洲新兴市场货币汇率持续承压。美国国债在未来12个月内面临大规模到期再融资，发行压力接近10万亿美元级别。</w:t>
      </w:r>
    </w:p>
    <w:p w14:paraId="13DDC2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普通观察者而言，这些可能是分散在不同市场和地区的独立新闻。但当它们在2026年这个节点同时出现时，市场开始关注其间是否存在更深层的关联。这种关联如果存在，又会对未来一段时期的全球流动性、资产定价和风险分布产生何种影响。</w:t>
      </w:r>
    </w:p>
    <w:p w14:paraId="248C8E6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与此同时，不同背景的市场参与者也在各自的领域释放出对风险的关注。无论是长期跟踪美元体系运行的观察者，还是经历过多次周期的投资者，或是直接参与政策与市场操作的机构，都在不同场合指出当前环境中的脆弱性。这些声音并非完全一致，但指向了一个共同的问题：当多种压力在同一时期叠加时，全球金融体系将如何应对。</w:t>
      </w:r>
    </w:p>
    <w:p w14:paraId="4461762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这些现象的背后，究竟是短期因素的偶然重叠，还是某种更具持续性的结构性力量在发挥作用？接下来的分析将尝试梳理这些现象之间的可能联系，并在此基础上对未来情景进行客观推演。</w:t>
      </w:r>
    </w:p>
    <w:p w14:paraId="5B93345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一、美元周期的结构性动力与当前市场环境的互动</w:t>
      </w:r>
    </w:p>
    <w:p w14:paraId="50D8AC6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球金融体系长期围绕美元展开运行，这不仅是某个单一主体的主动设计，更是历史演进形成的制度性结果。美元承担了国际贸易主要结算货币、全球主要储备资产以及安全资产的功能，这使得国际资本在面临不确定性或收益率差异时，往往会自然地向美元资产集中。这种结构性偏好，在不同周期阶段会以不同方式显现，并对全球其他经济体产生传导效应。</w:t>
      </w:r>
    </w:p>
    <w:p w14:paraId="667EA2B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传导主要通过两个相互关联的机制发挥作用。一是利率变化。当美国利率水平相对较高时，美元资产的吸引力上升，全球资本会倾向于流向美国国债、美元存款以及其他美元计价资产。这一过程通常导致美元汇率走强，从而对持有大量美元债务或依赖资本流入的新兴市场经济体形成压力。二是债务发行与再融资。美国联邦政府的财政赤字需要通过发行国债来融资，到期国债也需要通过借新还旧来进行展期。当再融资规模较大时，市场需要吸收大量美元资产供给，这在客观上会强化对美元流动性的需求，进一步吸引全球储蓄向美国集中。</w:t>
      </w:r>
    </w:p>
    <w:p w14:paraId="4B79C3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资本的这种流动偏好，并非短期情绪驱动，而是美元在全球金融体系中所处位置长期作用的结果。这一机制在过去多个周期中都曾出现，它既为全球提供了流动性支持和储备资产，也会在特定阶段对其他经济体形成外部约束。</w:t>
      </w:r>
    </w:p>
    <w:p w14:paraId="4C0A88D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年中，这一机制正处于相对活跃的状态。美国国债在未来12个月面临大规模到期再融资，整体发行压力接近10万亿美元级别。与此同时，利率仍处于相对高位区间。这种组合使得美元资产在全球范围内的配置吸引力维持在较高水平。当前环境下，其影响之所以显得集中，与美国债务规模扩大以及利率维持高位的时间较长有直接关系。</w:t>
      </w:r>
    </w:p>
    <w:p w14:paraId="39B4A19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任何结构性机制都不是孤立运行的。它会与各国国内政策、产业资本支出、地缘因素等相互作用，形成更为复杂的局面。接下来的分析将把前文提到的具体市场现象放在这一背景下观察，看它们如何与上述结构性动力产生互动。</w:t>
      </w:r>
    </w:p>
    <w:p w14:paraId="15A38A9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二、具体市场现象的机制拆解</w:t>
      </w:r>
    </w:p>
    <w:p w14:paraId="30ECC40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在前文分析的结构性机制基础上，我们可以进一步观察2026年年中几类较为突出的市场现象，看它们如何与美元周期的传导路径产生互动，同时受到其他因素的影响。</w:t>
      </w:r>
    </w:p>
    <w:p w14:paraId="60A179C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欧洲与日本央行的政策收紧</w:t>
      </w:r>
    </w:p>
    <w:p w14:paraId="0EFC7DB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央行与日本央行在近期均选择维持或推进利率上调。这与两国国内经济增速放缓、制造业与消费数据偏弱的现实形成一定反差。这本质上是一种政策两难：在资本自由流动的前提下，一国难以同时保持货币政策独立性与汇率稳定。当美元利率维持高位时，欧日若不跟随收紧，将面临资本外流和本币贬值压力；但跟随收紧又会进一步压制本已疲软的内需。</w:t>
      </w:r>
    </w:p>
    <w:p w14:paraId="76535FF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并非一种“权衡后取得平衡”的最优选择，而是一种有实际成本的被动应对——其代价是以内需进一步承压为代价换取汇率稳定。中东地区能源供应扰动也推高了欧洲和日本的输入性通胀压力，这为两国央行收紧货币政策提供了另一重现实依据。因此，欧日央行的政策选择是美元周期传导与本地通胀压力共同作用的结果，而非单一因素驱动。</w:t>
      </w:r>
    </w:p>
    <w:p w14:paraId="6DE43D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人工智能产业链的资本现象</w:t>
      </w:r>
    </w:p>
    <w:p w14:paraId="1562FB8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人工智能相关企业的资本开支规模在过去两年大幅上升，部分头部企业全年资本投入已达到数百亿美元级别，显著高于当前形成的营收规模。但相关资产的估值仍维持在较高区间运行。</w:t>
      </w:r>
    </w:p>
    <w:p w14:paraId="588E6BF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美元周期的视角看，AI领域的高强度资本投入客观上形成了一个规模较大的资金吸纳池，有助于吸收部分回流美元的资产配置需求。同时，市场对AI长期生产率提升的预期，也强化了相关资产的配置吸引力。这使得AI产业链在当前流动性环境下成为一个重要的资本承接领域。</w:t>
      </w:r>
    </w:p>
    <w:p w14:paraId="4FEC46C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当然，这一现象也存在另一面。巨额资本开支短期内难以完全转化为对应营收，部分企业仍处于投入大于产出的阶段。未来其估值能否持续支撑，将取决于盈利兑现的实际进展，而非仅依赖叙事预期。</w:t>
      </w:r>
    </w:p>
    <w:p w14:paraId="3A97E35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SpaceX</w:t>
      </w:r>
      <w:r>
        <w:rPr>
          <w:rFonts w:hint="eastAsia" w:ascii="方正楷体_GBK" w:hAnsi="方正楷体_GBK" w:eastAsia="方正楷体_GBK" w:cs="方正楷体_GBK"/>
          <w:b w:val="0"/>
          <w:bCs w:val="0"/>
          <w:sz w:val="32"/>
          <w:szCs w:val="32"/>
        </w:rPr>
        <w:t>的</w:t>
      </w:r>
      <w:r>
        <w:rPr>
          <w:rFonts w:hint="eastAsia" w:ascii="Times New Roman" w:hAnsi="Times New Roman" w:eastAsia="方正仿宋_GBK" w:cs="Times New Roman"/>
          <w:b w:val="0"/>
          <w:bCs w:val="0"/>
          <w:sz w:val="32"/>
          <w:szCs w:val="32"/>
        </w:rPr>
        <w:t>IPO</w:t>
      </w:r>
      <w:r>
        <w:rPr>
          <w:rFonts w:hint="eastAsia" w:ascii="方正楷体_GBK" w:hAnsi="方正楷体_GBK" w:eastAsia="方正楷体_GBK" w:cs="方正楷体_GBK"/>
          <w:b w:val="0"/>
          <w:bCs w:val="0"/>
          <w:sz w:val="32"/>
          <w:szCs w:val="32"/>
        </w:rPr>
        <w:t>窗口选择</w:t>
      </w:r>
    </w:p>
    <w:p w14:paraId="01C887F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SpaceX在6月中旬完成了历史上最大规模的IPO，募资约750亿美元。这一时机选择值得关注。</w:t>
      </w:r>
    </w:p>
    <w:p w14:paraId="7ECDC4D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美元周期相对活跃的阶段，全球资本对美元资产的配置需求仍较为集中，市场风险偏好尚未出现明显收缩。此时完成大规模IPO，有利于以相对有利的条件锁定长期资金，降低未来不确定性对公司经营的影响。同时，SpaceX自身业务（尤其是Starlink与发射服务）已形成较为稳定的现金流，这也为其在当前窗口推进上市提供了基本面支撑。这两个因素叠加，使得SpaceX选择在这一时点完成IPO具备了较为有利的市场条件和自身条件。</w:t>
      </w:r>
    </w:p>
    <w:p w14:paraId="60CD1F3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新兴市场货币压力与美债再融资的关联</w:t>
      </w:r>
    </w:p>
    <w:p w14:paraId="4816A76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部分亚洲新兴市场经济体的货币在2026年面临持续压力。这一现象与美元周期的传导存在明显关联。当美国利率维持高位且国债再融资规模较大时，全球资本配置向美元资产倾斜的倾向会增强，从而对新兴市场形成资本外流压力。持有较多美元债务的经济体，还会面临汇率贬值带来的偿债成本上升。</w:t>
      </w:r>
    </w:p>
    <w:p w14:paraId="0120182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指出的是，这一压力并非被平均承受。它还受到各国国内政策应对、贸易结构以及外部冲击等多重因素影响。不同新兴市场经济体因外债规模、储备水平和政策空间的差异，所面临的实际冲击程度也有所不同。</w:t>
      </w:r>
    </w:p>
    <w:p w14:paraId="48A55B5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以上现象显示，美元周期的结构性动力正在通过利率、资本流动和资产配置等渠道发挥影响，但具体表现会与各国政策、产业动态以及地缘因素相互叠加。</w:t>
      </w:r>
    </w:p>
    <w:p w14:paraId="7B3994A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三、历史危机比较：相似与差异</w:t>
      </w:r>
    </w:p>
    <w:p w14:paraId="37E45F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为了更清晰地判断当前环境的风险特征，有必要将当下市场现象与历史上几次重大金融危机进行简要比较。相似之处有助于识别风险传导的共性，而差异之处则有助于评估当前条件是否已发生实质性变化。</w:t>
      </w:r>
    </w:p>
    <w:p w14:paraId="464FD4A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与</w:t>
      </w:r>
      <w:r>
        <w:rPr>
          <w:rFonts w:hint="eastAsia" w:ascii="Times New Roman" w:hAnsi="Times New Roman" w:eastAsia="方正仿宋_GBK" w:cs="Times New Roman"/>
          <w:b w:val="0"/>
          <w:bCs w:val="0"/>
          <w:sz w:val="32"/>
          <w:szCs w:val="32"/>
        </w:rPr>
        <w:t>1997</w:t>
      </w:r>
      <w:r>
        <w:rPr>
          <w:rFonts w:hint="eastAsia" w:ascii="方正楷体_GBK" w:hAnsi="方正楷体_GBK" w:eastAsia="方正楷体_GBK" w:cs="方正楷体_GBK"/>
          <w:b w:val="0"/>
          <w:bCs w:val="0"/>
          <w:sz w:val="32"/>
          <w:szCs w:val="32"/>
        </w:rPr>
        <w:t>年亚洲金融风暴的比较</w:t>
      </w:r>
    </w:p>
    <w:p w14:paraId="40983A3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1997年危机的主要特征是美元加息周期下，新兴市场资本大规模外流、本币大幅贬值</w:t>
      </w:r>
      <w:r>
        <w:rPr>
          <w:rFonts w:hint="eastAsia" w:ascii="Times New Roman" w:hAnsi="Times New Roman" w:eastAsia="方正仿宋_GBK" w:cs="Times New Roman"/>
          <w:b w:val="0"/>
          <w:bCs w:val="0"/>
          <w:sz w:val="32"/>
          <w:szCs w:val="32"/>
          <w:lang w:eastAsia="zh-CN"/>
        </w:rPr>
        <w:t>，以及</w:t>
      </w:r>
      <w:r>
        <w:rPr>
          <w:rFonts w:hint="eastAsia" w:ascii="Times New Roman" w:hAnsi="Times New Roman" w:eastAsia="方正仿宋_GBK" w:cs="Times New Roman"/>
          <w:b w:val="0"/>
          <w:bCs w:val="0"/>
          <w:sz w:val="32"/>
          <w:szCs w:val="32"/>
        </w:rPr>
        <w:t>固定汇率制度下的储备耗尽与债务危机。当时许多亚洲经济体实行钉住美元的汇率制度，在资本外流时缺乏弹性调整空间，导致危机迅速恶化。</w:t>
      </w:r>
    </w:p>
    <w:p w14:paraId="7F8DFF9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与1997年存在一定相似性：美元维持较高利率水平，部分新兴市场经济体面临资本外流和货币贬值压力。然而，重要差异在于，大多数新兴市场经济体已不再实行严格的固定汇率制度，汇率具有一定弹性；同时，多国经过多年积累，外汇储备水平显著高于1997年。这使得它们在面对外部压力时拥有更大的政策缓冲空间。</w:t>
      </w:r>
    </w:p>
    <w:p w14:paraId="4DC98BA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与</w:t>
      </w:r>
      <w:r>
        <w:rPr>
          <w:rFonts w:hint="eastAsia" w:ascii="Times New Roman" w:hAnsi="Times New Roman" w:eastAsia="方正仿宋_GBK" w:cs="Times New Roman"/>
          <w:b w:val="0"/>
          <w:bCs w:val="0"/>
          <w:sz w:val="32"/>
          <w:szCs w:val="32"/>
        </w:rPr>
        <w:t>2000</w:t>
      </w:r>
      <w:r>
        <w:rPr>
          <w:rFonts w:hint="eastAsia" w:ascii="方正楷体_GBK" w:hAnsi="方正楷体_GBK" w:eastAsia="方正楷体_GBK" w:cs="方正楷体_GBK"/>
          <w:b w:val="0"/>
          <w:bCs w:val="0"/>
          <w:sz w:val="32"/>
          <w:szCs w:val="32"/>
        </w:rPr>
        <w:t>年互联网泡沫的比较</w:t>
      </w:r>
    </w:p>
    <w:p w14:paraId="1DE14CA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2000年互联网泡沫时期，市场对新技术的乐观预期推动大量资本涌入缺乏盈利支撑的企业，估值严重透支，最终在流动性收紧时出现大幅调整。</w:t>
      </w:r>
    </w:p>
    <w:p w14:paraId="4543D51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人工智能相关资产的高估值与巨额资本投入，在一定程度上与2000年存在相似之处。但关键差异在于，人工智能技术已展现出较为明确的产业应用前景，而非仅停留在概念阶段。同时，当前全球金融监管体系和金融机构的资本充足水平均明显高于2000年，系统性风险的传导渠道受到更多制约。</w:t>
      </w:r>
    </w:p>
    <w:p w14:paraId="17BC1CD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与</w:t>
      </w:r>
      <w:r>
        <w:rPr>
          <w:rFonts w:hint="eastAsia" w:ascii="Times New Roman" w:hAnsi="Times New Roman" w:eastAsia="方正仿宋_GBK" w:cs="Times New Roman"/>
          <w:b w:val="0"/>
          <w:bCs w:val="0"/>
          <w:sz w:val="32"/>
          <w:szCs w:val="32"/>
        </w:rPr>
        <w:t>2008</w:t>
      </w:r>
      <w:r>
        <w:rPr>
          <w:rFonts w:hint="eastAsia" w:ascii="方正楷体_GBK" w:hAnsi="方正楷体_GBK" w:eastAsia="方正楷体_GBK" w:cs="方正楷体_GBK"/>
          <w:b w:val="0"/>
          <w:bCs w:val="0"/>
          <w:sz w:val="32"/>
          <w:szCs w:val="32"/>
        </w:rPr>
        <w:t>年次贷危机的比较</w:t>
      </w:r>
    </w:p>
    <w:p w14:paraId="730DD7C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2008年危机源于美国房地产市场和复杂金融衍生品的过度杠杆，最终演变为全球性银行体系危机。其核心问题是居民部门高杠杆与金融体系的脆弱性相互强化。</w:t>
      </w:r>
    </w:p>
    <w:p w14:paraId="1B5CD4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与2008年相比，当前风险的主要集中领域有所不同。一方面，美国居民部门杠杆率相对可控，银行体系的资本水平和流动性管理要求显著提高；另一方面，当前风险更多体现在政府债务规模扩大以及部分科技资产估值偏高。全球金融监管框架在危机后已得到系统性加强，这在一定程度上降低了银行体系直接崩溃的可能性。</w:t>
      </w:r>
    </w:p>
    <w:p w14:paraId="72691F8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当前条件的主要差异</w:t>
      </w:r>
    </w:p>
    <w:p w14:paraId="5258C3C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综合来看，与以往几次危机相比，当前环境存在几项值得注意的差异：</w:t>
      </w:r>
    </w:p>
    <w:p w14:paraId="437687E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首先，风险讨论的广泛程度明显更高。市场参与者、政策机构和研究机构对潜在脆弱性的关注已较为充分，这使得部分风险已在资产价格中得到一定程度的反映。</w:t>
      </w:r>
    </w:p>
    <w:p w14:paraId="17D2BBA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其次，政策工具的丰富程度和应对经验有所提升。无论是发达经济体还是主要新兴市场经济体，在汇率管理、流动性供给和宏观审慎工具的使用上，均比以往更加成熟。</w:t>
      </w:r>
    </w:p>
    <w:p w14:paraId="60D84A1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最后，全球金融体系的韧性在监管加强后有所改善。虽然结构性压力依然存在，但系统性连锁反应的触发门槛相比2008年有所提高。</w:t>
      </w:r>
    </w:p>
    <w:p w14:paraId="2928741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当然，这些差异并不意味着风险可以被忽视。它们只是表明，当前环境与历史危机在传导路径和缓冲条件上存在实质性不同。</w:t>
      </w:r>
    </w:p>
    <w:p w14:paraId="190D81E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四、未来情景推演：三种可能路径</w:t>
      </w:r>
    </w:p>
    <w:p w14:paraId="7751BC1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基于前文对结构性机制、市场现象以及历史比较的分析，未来12至18个月全球金融环境可能出现三种不同程度的情景。以下推演以概率高低排序，重点说明各情景的主要特征与触发条件。</w:t>
      </w:r>
    </w:p>
    <w:p w14:paraId="3ABC88C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高概率情景：区域性、结构化风险集中</w:t>
      </w:r>
    </w:p>
    <w:p w14:paraId="05F2E70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在这一情景下，风险主要集中在部分基本面较为脆弱的小型经济体和部分新兴市场。主权债务压力、汇率大幅波动以及资本外流可能在个别国家集中爆发，导致局部金融动荡。</w:t>
      </w:r>
    </w:p>
    <w:p w14:paraId="2197897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发达经济体则更多呈现温和调整态势，经济增长放缓但未出现深度衰退。中国在稳汇率、稳市场和稳外贸方面保持较强政策主动性，整体金融体系维持相对稳定。全球范围内不会出现系统性连锁崩盘，风险主要以区域性和结构化的方式逐步显现。</w:t>
      </w:r>
    </w:p>
    <w:p w14:paraId="4CF2B7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这一情景的触发条件包括：地缘冲突未进一步升级、主要经济体政策应对及时</w:t>
      </w:r>
      <w:r>
        <w:rPr>
          <w:rFonts w:hint="eastAsia" w:ascii="Times New Roman" w:hAnsi="Times New Roman" w:eastAsia="方正仿宋_GBK" w:cs="Times New Roman"/>
          <w:b w:val="0"/>
          <w:bCs w:val="0"/>
          <w:sz w:val="32"/>
          <w:szCs w:val="32"/>
          <w:lang w:eastAsia="zh-CN"/>
        </w:rPr>
        <w:t>，以及</w:t>
      </w:r>
      <w:r>
        <w:rPr>
          <w:rFonts w:hint="eastAsia" w:ascii="Times New Roman" w:hAnsi="Times New Roman" w:eastAsia="方正仿宋_GBK" w:cs="Times New Roman"/>
          <w:b w:val="0"/>
          <w:bCs w:val="0"/>
          <w:sz w:val="32"/>
          <w:szCs w:val="32"/>
        </w:rPr>
        <w:t>市场对已知风险的消化能力保持正常。</w:t>
      </w:r>
    </w:p>
    <w:p w14:paraId="4BC9DB8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中概率情景：中度全球金融震荡</w:t>
      </w:r>
    </w:p>
    <w:p w14:paraId="114107C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在这一情景下，风险程度明显上升。地缘政治冲突可能出现阶段性升级，能源价格出现较大幅度波动，进而推高全球通胀压力并影响经济增长。</w:t>
      </w:r>
    </w:p>
    <w:p w14:paraId="53A18A0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债收益率可能出现明显波动，人工智能相关资产估值面临较深回调，全球主要股市出现同步调整。新兴市场面临的资本外流和货币压力会进一步加大，但尚未演变为全面危机。美联储可能在震荡过程中提前采取降息等政策工具进行应对，市场在经历一段时期的剧烈波动后逐步企稳。</w:t>
      </w:r>
    </w:p>
    <w:p w14:paraId="62ED703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这一情景的核心触发因素是地缘风险与流动性收紧的相互叠加。</w:t>
      </w:r>
    </w:p>
    <w:p w14:paraId="5AF6C15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低概率情景：较为平稳的调整与软着陆</w:t>
      </w:r>
    </w:p>
    <w:p w14:paraId="3302B75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在这一情景下，全球经济和金融体系以相对有序的方式完成调整。各国货币政策保持一定程度的协调，美债债务置换进程较为顺利，地缘政治紧张局势出现缓和。</w:t>
      </w:r>
    </w:p>
    <w:p w14:paraId="3EFA4D7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人工智能资产估值有序回落而非断崖式下跌，新兴市场面临的外部压力逐步缓解。全球经济进入低速增长通道，但未出现显著的金融动荡或危机事件。</w:t>
      </w:r>
    </w:p>
    <w:p w14:paraId="756FC03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这一情景的实现需要多个有利条件同时出现，包括政策协调效果良好、地缘风险明显降温</w:t>
      </w:r>
      <w:r>
        <w:rPr>
          <w:rFonts w:hint="eastAsia" w:ascii="Times New Roman" w:hAnsi="Times New Roman" w:eastAsia="方正仿宋_GBK" w:cs="Times New Roman"/>
          <w:b w:val="0"/>
          <w:bCs w:val="0"/>
          <w:sz w:val="32"/>
          <w:szCs w:val="32"/>
          <w:lang w:eastAsia="zh-CN"/>
        </w:rPr>
        <w:t>，以及</w:t>
      </w:r>
      <w:r>
        <w:rPr>
          <w:rFonts w:hint="eastAsia" w:ascii="Times New Roman" w:hAnsi="Times New Roman" w:eastAsia="方正仿宋_GBK" w:cs="Times New Roman"/>
          <w:b w:val="0"/>
          <w:bCs w:val="0"/>
          <w:sz w:val="32"/>
          <w:szCs w:val="32"/>
        </w:rPr>
        <w:t>市场对风险的定价和消化较为充分。</w:t>
      </w:r>
    </w:p>
    <w:p w14:paraId="2E75A2A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综合判断</w:t>
      </w:r>
    </w:p>
    <w:p w14:paraId="255187F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上三种情景并非相互排斥，而是反映了不同风险强度的可能性分布。当前市场参与者对风险的关注程度较高、政策工具储备相对充足，这在一定程度上降低了最极端情景（全面金融危机）出现的概率。但结构性压力依然存在，未来走势仍将取决于政策应对、地缘演变以及市场自我调节能力的综合结果。</w:t>
      </w:r>
    </w:p>
    <w:p w14:paraId="6CDFF5B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五、风险应对与总体判断</w:t>
      </w:r>
    </w:p>
    <w:p w14:paraId="1EF2C8D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综合前文的分析，当前全球金融环境存在明显的结构性压力，但由于风险已得到较为广泛的讨论和一定程度的提前定价，出现全面系统性危机的概率相对较低。未来走势更可能呈现为不同程度的区域性或结构性调整，而非全局性崩盘。</w:t>
      </w:r>
    </w:p>
    <w:p w14:paraId="15E8684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在这样的环境下，各方更需要保持理性与定力，避免在波动中做出过度反应。</w:t>
      </w:r>
    </w:p>
    <w:p w14:paraId="6E1E873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政策层面看，主要经济体需要继续在经济增长、通胀控制与金融稳定之间寻求平衡。过快收紧政策可能加剧经济下行压力，而政策过于宽松则可能推高资产泡沫和通胀风险。在当前高债务环境下，如何有效管理政府债务再融资压力，同时避免对私人部门形成过度挤出，是发达经济体面临的共同挑战。</w:t>
      </w:r>
    </w:p>
    <w:p w14:paraId="3525AF7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中国而言，在外部环境不确定性加大的背景下，保持人民币汇率基本稳定、维护金融市场平稳运行具有重要意义。同时，加强产业链供应链韧性建设、推动关键领域科技自立自强，能够有效降低外部冲击带来的风险敞口。此外，持续推进高水平制度型开放和人民币国际化进程，也有助于提升中国在全球金融体系中的话语权和抗风险能力，逐步减少对单一货币和单一市场的依赖。</w:t>
      </w:r>
    </w:p>
    <w:p w14:paraId="435DB6E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总体而言，金融市场最确定的规律之一是：被广泛认知并提前应对的风险，往往不会以最极端的方式完全落地。当前环境下，虽然结构性矛盾依然存在，但多方参与者的风险意识和政策工具储备，为市场提供了重要的缓冲空间。未来12至18个月，全球金融体系更可能在震荡中寻求新的平衡，而非陷入失控的危机。</w:t>
      </w:r>
    </w:p>
    <w:p w14:paraId="13BCCDC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历史经验反复表明，金融体系具有较强的自我调节和适应能力。只要各方保持理性应对，当前这轮周期性压力最终有望转化为全球金融体系进一步成熟和多元化的契机</w:t>
      </w:r>
      <w:r>
        <w:rPr>
          <w:rFonts w:hint="eastAsia" w:ascii="Times New Roman" w:hAnsi="Times New Roman" w:eastAsia="方正仿宋_GBK" w:cs="Times New Roman"/>
          <w:b w:val="0"/>
          <w:bCs w:val="0"/>
          <w:sz w:val="32"/>
          <w:szCs w:val="32"/>
          <w:lang w:eastAsia="zh-CN"/>
        </w:rPr>
        <w:t>。</w:t>
      </w:r>
    </w:p>
    <w:p w14:paraId="7B22260B">
      <w:pPr>
        <w:keepNext w:val="0"/>
        <w:keepLines w:val="0"/>
        <w:pageBreakBefore w:val="0"/>
        <w:widowControl w:val="0"/>
        <w:kinsoku/>
        <w:wordWrap/>
        <w:overflowPunct/>
        <w:topLinePunct w:val="0"/>
        <w:autoSpaceDE/>
        <w:autoSpaceDN/>
        <w:bidi w:val="0"/>
        <w:adjustRightInd/>
        <w:snapToGrid/>
        <w:spacing w:line="580" w:lineRule="exact"/>
        <w:ind w:right="0" w:rightChars="0" w:firstLine="3976" w:firstLineChars="1400"/>
        <w:jc w:val="both"/>
        <w:textAlignment w:val="auto"/>
        <w:outlineLvl w:val="9"/>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刘浩、周斌</w:t>
      </w:r>
      <w:r>
        <w:rPr>
          <w:rFonts w:hint="default" w:ascii="Times New Roman" w:hAnsi="Times New Roman" w:eastAsia="方正楷体_GBK" w:cs="方正楷体_GBK"/>
          <w:b/>
          <w:bCs/>
          <w:color w:val="FF0000"/>
          <w:spacing w:val="0"/>
          <w:kern w:val="2"/>
          <w:sz w:val="30"/>
          <w:szCs w:val="30"/>
          <w:lang w:val="en-US" w:eastAsia="zh-CN" w:bidi="ar-SA"/>
        </w:rPr>
        <w:t>）</w:t>
      </w:r>
    </w:p>
    <w:p w14:paraId="3412A10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4BE2A3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8688C3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002BD2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BF408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22830D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471FE8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13DBAE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2144816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2B85156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bookmarkStart w:id="1" w:name="OLE_LINK5"/>
      <w:bookmarkStart w:id="2" w:name="OLE_LINK3"/>
      <w:r>
        <w:rPr>
          <w:rFonts w:hint="eastAsia" w:ascii="Times New Roman" w:hAnsi="Times New Roman" w:eastAsia="华文新魏" w:cs="Times New Roman"/>
          <w:b/>
          <w:bCs w:val="0"/>
          <w:color w:val="FF0000"/>
          <w:spacing w:val="0"/>
          <w:kern w:val="36"/>
          <w:sz w:val="44"/>
          <w:szCs w:val="44"/>
          <w:lang w:val="en-US" w:eastAsia="zh-CN" w:bidi="ar-SA"/>
        </w:rPr>
        <w:t>苏韵流丝润中亚 文明互鉴谱新篇</w:t>
      </w:r>
    </w:p>
    <w:p w14:paraId="1BA9797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——江苏文化中亚行在阿斯塔纳启幕</w:t>
      </w:r>
    </w:p>
    <w:bookmarkEnd w:id="1"/>
    <w:p w14:paraId="0AB9FD5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由我会副会长单位——江苏省苏豪控股集团有限公司主办的“苏韵流丝—江苏文化中亚行”活动在哈萨克斯坦首都阿斯塔纳中亚江苏中心启幕。活动以千年丝路文化为纽带，旨在推动江苏与中亚地区文旅深度融合、经贸协同共进、文明交流互鉴，进一步密切两地交流往来，携手开创多领域深层次协同发展新局面。</w:t>
      </w:r>
    </w:p>
    <w:p w14:paraId="241C9BA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哈萨克斯坦旅游和体育部旅游产业委员会代主席拜扎诺夫·努尔博尔·叶尔拉诺维奇、文化和信息部文化委员会“博佐克”国家历史文化博物馆保护区馆长博尔德科夫·然多斯·别克季利达耶维奇、旅游和体育部下属企业家联合会工会全国总主席伊曼库洛娃·斯维特兰娜、旅游协会会长沙米尔·劳珊，以及苏豪文化集团主要负责人，江苏省旅游协会、连云港市旅游协会、南京旅游业协会相关负责人出席启幕仪式。来自中哈文旅行业、江苏本土企业的百余名嘉宾齐聚现场，共叙友谊、共商合作。</w:t>
      </w:r>
    </w:p>
    <w:p w14:paraId="28F83D8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沙米尔·劳珊在致辞中表示，哈萨克斯坦与江苏交往渊源久远，合作基础扎实。江苏文化底蕴深厚、产业资源富集、文旅业态成熟，是哈方深化对华地方合作的理想伙伴。她期待双方依托现有合作平台，持续推进文旅资源共享、产业协同发展、专业人才互通，推动两地合作进一步走深走实。</w:t>
      </w:r>
    </w:p>
    <w:p w14:paraId="6805F02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活动同步展出多项产教融合创新成果。苏豪控股集团携手南京工业职业技术大学及哈萨克斯坦本土高校，共建哈萨克斯坦“中文+职业技能”教育区域发展中心，依托“丝路云商”中亚跨境电商平台，定向培育数字贸易专业人才，以产教融合模式持续赋能双边经贸合作，为高质量共建 “一带一路” 注入不竭动力。</w:t>
      </w:r>
    </w:p>
    <w:p w14:paraId="1F33E7D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：苏豪控股集团微信公众号）</w:t>
      </w:r>
    </w:p>
    <w:p w14:paraId="44E96B5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14644075">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D6E8E55">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A9E3F7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FD9773E">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829380F">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E751DF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2EFA99F">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032FCC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280094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3289F24">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F5AC71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840455B">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EBAC898">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8F44F13">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777970B">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E7354B3">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20CB444">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A4C32C1">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bookmarkEnd w:id="2"/>
    <w:p w14:paraId="51DC203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3" w:name="OLE_LINK4"/>
      <w:r>
        <w:rPr>
          <w:rFonts w:hint="eastAsia" w:ascii="Times New Roman" w:hAnsi="Times New Roman" w:eastAsia="华文新魏" w:cs="Times New Roman"/>
          <w:b/>
          <w:bCs w:val="0"/>
          <w:color w:val="FF0000"/>
          <w:spacing w:val="0"/>
          <w:kern w:val="36"/>
          <w:sz w:val="44"/>
          <w:szCs w:val="44"/>
          <w:lang w:val="en-US" w:eastAsia="zh-CN" w:bidi="ar-SA"/>
        </w:rPr>
        <w:t>深耕中亚 链通全球：丰尚以“标准+智造+方案” 书写“一带一路”农业合作新篇章</w:t>
      </w:r>
    </w:p>
    <w:bookmarkEnd w:id="3"/>
    <w:p w14:paraId="513B142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近日，江苏省委书记信长星率江苏省代表团赴哈萨克斯坦考察访问。其间</w:t>
      </w:r>
      <w:bookmarkStart w:id="4" w:name="_GoBack"/>
      <w:bookmarkEnd w:id="4"/>
      <w:r>
        <w:rPr>
          <w:rFonts w:hint="eastAsia" w:ascii="Times New Roman" w:hAnsi="Times New Roman" w:eastAsia="方正仿宋_GBK" w:cs="Times New Roman"/>
          <w:b w:val="0"/>
          <w:bCs w:val="0"/>
          <w:sz w:val="32"/>
          <w:szCs w:val="32"/>
          <w:lang w:val="en-US" w:eastAsia="zh-CN"/>
        </w:rPr>
        <w:t>，我会理事单位——江苏丰尚智能科技有限公司作为全球农牧食品装备行业领军企业，深度参与多场高规格活动，并成功签署超亿元合作协议，以实际行动助力中哈农业产业链深度协同，为共建“一带一路”高质量发展注入新动能。</w:t>
      </w:r>
    </w:p>
    <w:p w14:paraId="2AA8742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活动期间，丰尚公司总裁陈正俊与哈萨克斯坦农业部副部长叶尔梅克・肯热哈努雷举行友好会见，围绕农牧产业现代化、粮食仓储物流体系建设等议题深入交流，充分展现“江苏智造”在农牧食品工程领域的全产业链服务能力。</w:t>
      </w:r>
    </w:p>
    <w:p w14:paraId="1CA0CC7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随同扬州市经贸友好代表团，丰尚公司还参与了在哈萨克斯坦经济中心阿拉木图举办的扬州—阿拉木图经贸合作交流会，与当地政企代表共话产业合作机遇，并实地调研当地头部农业食品企业，就深化农业产业链协同发展达成多项共识。</w:t>
      </w:r>
    </w:p>
    <w:p w14:paraId="019BEDA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丰尚公司与哈萨克斯坦头部农业企业艾塔斯集团成功签署肉鸡产业链设备采购协议，协议金额超1亿元人民币。该项目将为艾塔斯集团提供从饲料生产、畜禽养殖到食品深加工的全链条智能化装备与系统解决方案，助力哈萨克斯坦家禽产业实现数字化、智能化升级，进一步提升当地肉类产品的自给能力与市场竞争力。</w:t>
      </w:r>
    </w:p>
    <w:p w14:paraId="582370C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：丰尚公司微信公众号）</w:t>
      </w:r>
    </w:p>
    <w:p w14:paraId="1A50804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467C737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中国信保江苏分公司开展2026年普惠金融服务季活动</w:t>
      </w:r>
    </w:p>
    <w:p w14:paraId="004CD08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期，中国出口信用保险公司正在全国组织开展“2026年普惠金融服务季”活动，聚焦“高质量服务助企‘十五五’外贸开新局”主题，统筹推进“保险惠企”“服务兴企”“数智助企”三大专项行动，助力我国中小微外贸企业在复杂多变的国际环境中稳信心、拓市场、防风险、强能力。</w:t>
      </w:r>
    </w:p>
    <w:p w14:paraId="33A391F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政策性金融机构在江苏的窗口，我会副会长单位——中国出口信用保险公司江苏分公司积极落实“2026年普惠金融服务季”活动要求，聚焦互联网保险新产品、银信合作新模式、数智风控新举措，切实推动惠企服务落地见效。</w:t>
      </w:r>
    </w:p>
    <w:p w14:paraId="08C9CED3">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：中国信保江苏分公司微信公众号）</w:t>
      </w:r>
    </w:p>
    <w:p w14:paraId="7529081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95F5ED-E869-411C-B50E-92E9B5137784}"/>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A74D3349-28BA-4ADE-AD83-D3E24C9ABBF1}"/>
  </w:font>
  <w:font w:name="方正楷体_GBK">
    <w:panose1 w:val="03000509000000000000"/>
    <w:charset w:val="86"/>
    <w:family w:val="auto"/>
    <w:pitch w:val="default"/>
    <w:sig w:usb0="00000001" w:usb1="080E0000" w:usb2="00000000" w:usb3="00000000" w:csb0="00040000" w:csb1="00000000"/>
    <w:embedRegular r:id="rId3" w:fontKey="{C3B3856E-4C62-4432-BCA1-B66458AFC1EA}"/>
  </w:font>
  <w:font w:name="方正公文黑体">
    <w:panose1 w:val="02000500000000000000"/>
    <w:charset w:val="86"/>
    <w:family w:val="auto"/>
    <w:pitch w:val="default"/>
    <w:sig w:usb0="A00002BF" w:usb1="38CF7CFA" w:usb2="00000016" w:usb3="00000000" w:csb0="00040001" w:csb1="00000000"/>
    <w:embedRegular r:id="rId4" w:fontKey="{57FB814F-22BF-470B-8436-DE97EC814643}"/>
  </w:font>
  <w:font w:name="方正黑体_GBK">
    <w:panose1 w:val="02010600010101010101"/>
    <w:charset w:val="86"/>
    <w:family w:val="auto"/>
    <w:pitch w:val="default"/>
    <w:sig w:usb0="00000001" w:usb1="080E0000" w:usb2="00000000" w:usb3="00000000" w:csb0="00040000" w:csb1="00000000"/>
    <w:embedRegular r:id="rId5" w:fontKey="{E49979DE-857C-4D56-9288-D86CAF7BD7CE}"/>
  </w:font>
  <w:font w:name="方正小标宋_GBK">
    <w:panose1 w:val="02000000000000000000"/>
    <w:charset w:val="86"/>
    <w:family w:val="auto"/>
    <w:pitch w:val="default"/>
    <w:sig w:usb0="A00002BF" w:usb1="38CF7CFA" w:usb2="00082016" w:usb3="00000000" w:csb0="00040001" w:csb1="00000000"/>
    <w:embedRegular r:id="rId6" w:fontKey="{59CC8B05-68E7-4BFC-B2C5-DEAA59781C0A}"/>
  </w:font>
  <w:font w:name="方正仿宋_GBK">
    <w:panose1 w:val="03000509000000000000"/>
    <w:charset w:val="86"/>
    <w:family w:val="script"/>
    <w:pitch w:val="default"/>
    <w:sig w:usb0="00000001" w:usb1="080E0000" w:usb2="00000000" w:usb3="00000000" w:csb0="00040000" w:csb1="00000000"/>
    <w:embedRegular r:id="rId7" w:fontKey="{04EE13A0-0060-483B-AD8D-656E3E69CCB1}"/>
  </w:font>
  <w:font w:name="华文新魏">
    <w:panose1 w:val="02010800040101010101"/>
    <w:charset w:val="86"/>
    <w:family w:val="auto"/>
    <w:pitch w:val="default"/>
    <w:sig w:usb0="00000001" w:usb1="080F0000" w:usb2="00000000" w:usb3="00000000" w:csb0="00040000" w:csb1="00000000"/>
    <w:embedRegular r:id="rId8" w:fontKey="{AD9BDB5A-BA61-4BB9-8885-701CAD6757A1}"/>
  </w:font>
  <w:font w:name="WPSEMBED2">
    <w:panose1 w:val="02000500000000000000"/>
    <w:charset w:val="86"/>
    <w:family w:val="auto"/>
    <w:pitch w:val="default"/>
    <w:sig w:usb0="A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A684F"/>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01EE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26279"/>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36F8B"/>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10880"/>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0229D"/>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67B5C"/>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4D1CF1"/>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3099B"/>
    <w:rsid w:val="178501CB"/>
    <w:rsid w:val="178A042D"/>
    <w:rsid w:val="178A1F82"/>
    <w:rsid w:val="17916104"/>
    <w:rsid w:val="17920EA7"/>
    <w:rsid w:val="1797450B"/>
    <w:rsid w:val="17985148"/>
    <w:rsid w:val="17A644BF"/>
    <w:rsid w:val="17A90C9E"/>
    <w:rsid w:val="17A92F07"/>
    <w:rsid w:val="17A93B09"/>
    <w:rsid w:val="17B23E0F"/>
    <w:rsid w:val="17B31B32"/>
    <w:rsid w:val="17B80549"/>
    <w:rsid w:val="17BD6166"/>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7492C"/>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407DF"/>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46D4B"/>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C3898"/>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4E03C6"/>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1225"/>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2B564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156F3"/>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D42DEC"/>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8E76EE"/>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263ED"/>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52EB9"/>
    <w:rsid w:val="3AC75562"/>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45984"/>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BFD046C"/>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1832BB"/>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8746D"/>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697DC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06AA9"/>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C2660"/>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12198"/>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7F6123"/>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4954"/>
    <w:rsid w:val="51DC7D4F"/>
    <w:rsid w:val="51E372D3"/>
    <w:rsid w:val="51E952C3"/>
    <w:rsid w:val="51F763C2"/>
    <w:rsid w:val="52082F0E"/>
    <w:rsid w:val="520A4FD4"/>
    <w:rsid w:val="520A6A40"/>
    <w:rsid w:val="520B29B2"/>
    <w:rsid w:val="52102473"/>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003F"/>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6F587F"/>
    <w:rsid w:val="55714147"/>
    <w:rsid w:val="55744904"/>
    <w:rsid w:val="557C295E"/>
    <w:rsid w:val="557C5B0B"/>
    <w:rsid w:val="55806AF4"/>
    <w:rsid w:val="55812735"/>
    <w:rsid w:val="55861EC8"/>
    <w:rsid w:val="5588140B"/>
    <w:rsid w:val="55891D85"/>
    <w:rsid w:val="5592013C"/>
    <w:rsid w:val="559C7927"/>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353B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5165E"/>
    <w:rsid w:val="58775EED"/>
    <w:rsid w:val="58790B5B"/>
    <w:rsid w:val="588D7FDD"/>
    <w:rsid w:val="58924ECC"/>
    <w:rsid w:val="589511CE"/>
    <w:rsid w:val="5895256C"/>
    <w:rsid w:val="58965AA7"/>
    <w:rsid w:val="5899451C"/>
    <w:rsid w:val="589C6409"/>
    <w:rsid w:val="589D4D39"/>
    <w:rsid w:val="58A34E0C"/>
    <w:rsid w:val="58AE31F5"/>
    <w:rsid w:val="58B12F4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30012"/>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08DE"/>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96A92"/>
    <w:rsid w:val="628C1A7E"/>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569B7"/>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3008"/>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474D0"/>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668D1"/>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A56DA"/>
    <w:rsid w:val="6F6B5A9E"/>
    <w:rsid w:val="6F7A07E3"/>
    <w:rsid w:val="6F7D050B"/>
    <w:rsid w:val="6F8C33B0"/>
    <w:rsid w:val="6F8D5B36"/>
    <w:rsid w:val="6F953750"/>
    <w:rsid w:val="6F9B0C75"/>
    <w:rsid w:val="6FA04DA3"/>
    <w:rsid w:val="6FA10B29"/>
    <w:rsid w:val="6FAA2D8A"/>
    <w:rsid w:val="6FB62831"/>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764A7"/>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1051"/>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0228"/>
    <w:rsid w:val="7D526E71"/>
    <w:rsid w:val="7D532432"/>
    <w:rsid w:val="7D592A4D"/>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 w:type="character" w:customStyle="1" w:styleId="60">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49dfb1c4-821b-4195-8167-e885c30ede60</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75cfb8a2-5d02-42ef-93b4-a8dec291cf4b</errorID>
      <errorWord>粘性的</errorWord>
      <group>L1_Word</group>
      <groupName>字词问题</groupName>
      <ability>L2_Alias</ability>
      <abilityName>也作/曾用词</abilityName>
      <candidateList>
        <item>黏性的</item>
      </candidateList>
      <explain>词汇[粘性的]为不规范表述或旧称，其规范书面表述为[黏性的]。</explain>
      <paraID>35D19837</paraID>
      <start>155</start>
      <end>158</end>
      <status>ignored</status>
      <modifiedWord/>
      <trackRevisions>false</trackRevisions>
    </reviewItem>
    <reviewItem>
      <errorID>0e66e03a-c20b-4d79-85d2-edd22a8ce589</errorID>
      <errorWord>塑</errorWord>
      <group>L1_Word</group>
      <groupName>字词问题</groupName>
      <ability>L2_Typo</ability>
      <abilityName>字词错误</abilityName>
      <candidateList>
        <item>塑了</item>
      </candidateList>
      <explain/>
      <paraID>4E18FB7F</paraID>
      <start>41</start>
      <end>42</end>
      <status>ignored</status>
      <modifiedWord/>
      <trackRevisions>false</trackRevisions>
    </reviewItem>
    <reviewItem>
      <errorID>e1885dd6-0e3a-4e7e-bb05-e7647a866d9e</errorID>
      <errorWord>的粘性</errorWord>
      <group>L1_Word</group>
      <groupName>字词问题</groupName>
      <ability>L2_Typo</ability>
      <abilityName>字词错误</abilityName>
      <candidateList>
        <item>的黏性</item>
      </candidateList>
      <explain/>
      <paraID> 65659E4</paraID>
      <start>172</start>
      <end>175</end>
      <status>ignored</status>
      <modifiedWord/>
      <trackRevisions>false</trackRevisions>
    </reviewItem>
    <reviewItem>
      <errorID>bbe41367-4cdc-4f02-9965-22ef86070b97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6D8C2C10</paraID>
      <start>143</start>
      <end>145</end>
      <status>ignored</status>
      <modifiedWord/>
      <trackRevisions>false</trackRevisions>
    </reviewItem>
    <reviewItem>
      <errorID>c737a260-a32e-4855-abb1-0d45ca4e9e05</errorID>
      <errorWord>。</errorWord>
      <group>L1_Grammar</group>
      <groupName>语法问题</groupName>
      <ability>L2_Order</ability>
      <abilityName>语序不当</abilityName>
      <candidateList>
        <item>其二，。</item>
      </candidateList>
      <explain>句子可能没有遵循时空、逻辑顺序，或者介词、关联词等位置不当。</explain>
      <paraID>4A006D4A</paraID>
      <start>47</start>
      <end>48</end>
      <status>ignored</status>
      <modifiedWord/>
      <trackRevisions>false</trackRevisions>
    </reviewItem>
    <reviewItem>
      <errorID>8e6e17bb-8f3f-4e95-b3d2-1d422fda256a</errorID>
      <errorWord>-</errorWord>
      <group>L1_Format</group>
      <groupName>格式问题</groupName>
      <ability>L2_HalfPunc</ability>
      <abilityName>全半角检查</abilityName>
      <candidateList>
        <item>－</item>
      </candidateList>
      <explain>文本全半角错误。</explain>
      <paraID>4A006D4A</paraID>
      <start>90</start>
      <end>91</end>
      <status>ignored</status>
      <modifiedWord/>
      <trackRevisions>false</trackRevisions>
    </reviewItem>
    <reviewItem>
      <errorID>b32a2a92-3d9b-417a-a616-a8b2e52efaa3</errorID>
      <errorWord>-</errorWord>
      <group>L1_Format</group>
      <groupName>格式问题</groupName>
      <ability>L2_HalfPunc</ability>
      <abilityName>全半角检查</abilityName>
      <candidateList>
        <item>－</item>
      </candidateList>
      <explain>文本全半角错误。</explain>
      <paraID>4A006D4A</paraID>
      <start>180</start>
      <end>181</end>
      <status>ignored</status>
      <modifiedWord/>
      <trackRevisions>false</trackRevisions>
    </reviewItem>
    <reviewItem>
      <errorID>2fc376f1-a3ff-40f9-aa15-868e3871dfd5</errorID>
      <errorWord>即时且</errorWord>
      <group>L1_Word</group>
      <groupName>字词问题</groupName>
      <ability>L2_Typo</ability>
      <abilityName>字词错误</abilityName>
      <candidateList>
        <item>及时且</item>
      </candidateList>
      <explain/>
      <paraID>6AF4AEF1</paraID>
      <start>66</start>
      <end>69</end>
      <status>ignored</status>
      <modifiedWord/>
      <trackRevisions>false</trackRevisions>
    </reviewItem>
    <reviewItem>
      <errorID>7360e244-4dc0-40fe-a0fd-0fa73d78dd6b</errorID>
      <errorWord>经济放缓</errorWord>
      <group>L1_Word</group>
      <groupName>字词问题</groupName>
      <ability>L2_Typo</ability>
      <abilityName>字词错误</abilityName>
      <candidateList>
        <item>经济增长放缓</item>
      </candidateList>
      <explain/>
      <paraID>6E54E740</paraID>
      <start>14</start>
      <end>18</end>
      <status>ignored</status>
      <modifiedWord/>
      <trackRevisions>false</trackRevisions>
    </reviewItem>
    <reviewItem>
      <errorID>d6f6c5d0-fe1c-470f-b357-261b702eff2e</errorID>
      <errorWord>：</errorWord>
      <group>L1_Word</group>
      <groupName>字词问题</groupName>
      <ability>L2_Typo</ability>
      <abilityName>字词错误</abilityName>
      <candidateList>
        <item>：在</item>
      </candidateList>
      <explain/>
      <paraID> 37CC21D</paraID>
      <start>104</start>
      <end>105</end>
      <status>ignored</status>
      <modifiedWord/>
      <trackRevisions>false</trackRevisions>
    </reviewItem>
    <reviewItem>
      <errorID>dcbd9f70-ed59-4bcc-9be4-d376260f2120</errorID>
      <errorWord>显性化</errorWord>
      <group>L1_Word</group>
      <groupName>字词问题</groupName>
      <ability>L2_Typo</ability>
      <abilityName>字词错误</abilityName>
      <candidateList>
        <item>显化</item>
      </candidateList>
      <explain/>
      <paraID> CD03CE7</paraID>
      <start>22</start>
      <end>25</end>
      <status>ignored</status>
      <modifiedWord/>
      <trackRevisions>false</trackRevisions>
    </reviewItem>
    <reviewItem>
      <errorID>a7d14b43-e376-45e4-912a-7533a400e762</errorID>
      <errorWord>-</errorWord>
      <group>L1_Format</group>
      <groupName>格式问题</groupName>
      <ability>L2_HalfPunc</ability>
      <abilityName>全半角检查</abilityName>
      <candidateList>
        <item>－</item>
      </candidateList>
      <explain>文本全半角错误。</explain>
      <paraID>2577092A</paraID>
      <start>106</start>
      <end>107</end>
      <status>ignored</status>
      <modifiedWord/>
      <trackRevisions>false</trackRevisions>
    </reviewItem>
    <reviewItem>
      <errorID>d37dc55d-b2d3-4bb9-a8dc-5b75809c7bdc</errorID>
      <errorWord>-</errorWord>
      <group>L1_Format</group>
      <groupName>格式问题</groupName>
      <ability>L2_HalfPunc</ability>
      <abilityName>全半角检查</abilityName>
      <candidateList>
        <item>－</item>
      </candidateList>
      <explain>文本全半角错误。</explain>
      <paraID>5EE00A3A</paraID>
      <start>104</start>
      <end>105</end>
      <status>ignored</status>
      <modifiedWord/>
      <trackRevisions>false</trackRevisions>
    </reviewItem>
    <reviewItem>
      <errorID>5c1f6265-8e92-4c6b-86c5-a7bfe6a21261</errorID>
      <errorWord>-</errorWord>
      <group>L1_Format</group>
      <groupName>格式问题</groupName>
      <ability>L2_HalfPunc</ability>
      <abilityName>全半角检查</abilityName>
      <candidateList>
        <item>－</item>
      </candidateList>
      <explain>文本全半角错误。</explain>
      <paraID>5EE00A3A</paraID>
      <start>109</start>
      <end>110</end>
      <status>ignored</status>
      <modifiedWord/>
      <trackRevisions>false</trackRevisions>
    </reviewItem>
    <reviewItem>
      <errorID>e5e9e5a3-1965-4f58-a24a-6c7b269ab0ca</errorID>
      <errorWord>、也</errorWord>
      <group>L1_Punc</group>
      <groupName>标点问题</groupName>
      <ability>L2_Punc</ability>
      <abilityName>标点符号检查</abilityName>
      <candidateList>
        <item>，也</item>
      </candidateList>
      <explain>连接词前后不宜使用顿号，建议使用逗号。</explain>
      <paraID>19076416</paraID>
      <start>202</start>
      <end>204</end>
      <status>ignored</status>
      <modifiedWord/>
      <trackRevisions>false</trackRevisions>
    </reviewItem>
    <reviewItem>
      <errorID>a48f61ce-79fb-40c8-b54a-4929953b5179</errorID>
      <errorWord>称</errorWord>
      <group>L1_Word</group>
      <groupName>字词问题</groupName>
      <ability>L2_Typo</ability>
      <abilityName>字词错误</abilityName>
      <candidateList>
        <item>稳</item>
      </candidateList>
      <explain/>
      <paraID>767DC516</paraID>
      <start>45</start>
      <end>46</end>
      <status>modified</status>
      <modifiedWord>稳</modifiedWord>
      <trackRevisions>false</trackRevisions>
    </reviewItem>
    <reviewItem>
      <errorID>4a298fe2-4823-4301-a641-65c9204748f4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23F5FE67</paraID>
      <start>116</start>
      <end>117</end>
      <status>ignored</status>
      <modifiedWord/>
      <trackRevisions>false</trackRevisions>
    </reviewItem>
    <reviewItem>
      <errorID>0bd92e30-e2f4-4bbd-be34-421223c5674e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5BD92364</paraID>
      <start>239</start>
      <end>241</end>
      <status>ignored</status>
      <modifiedWord/>
      <trackRevisions>false</trackRevisions>
    </reviewItem>
    <reviewItem>
      <errorID>a6c46169-7e65-4fc4-876e-f6052f970788</errorID>
      <errorWord>亚洲金融风暴</errorWord>
      <group>L1_Word</group>
      <groupName>字词问题</groupName>
      <ability>L2_Typo</ability>
      <abilityName>字词错误</abilityName>
      <candidateList>
        <item>亚洲金融危机</item>
      </candidateList>
      <explain/>
      <paraID>464FD4A8</paraID>
      <start>6</start>
      <end>12</end>
      <status>ignored</status>
      <modifiedWord/>
      <trackRevisions>false</trackRevisions>
    </reviewItem>
    <reviewItem>
      <errorID>dbe41bb4-9c58-4918-b8e5-0be50f3af66b</errorID>
      <errorWord>、以及</errorWord>
      <group>L1_Punc</group>
      <groupName>标点问题</groupName>
      <ability>L2_Punc</ability>
      <abilityName>标点符号检查</abilityName>
      <candidateList>
        <item>，以及</item>
      </candidateList>
      <explain>连接词前后不宜使用顿号，建议使用逗号。</explain>
      <paraID>40983A37</paraID>
      <start>39</start>
      <end>42</end>
      <status>modified</status>
      <modifiedWord>，以及</modifiedWord>
      <trackRevisions>false</trackRevisions>
    </reviewItem>
    <reviewItem>
      <errorID>9b72fb3a-56b7-4abf-af58-60f391e922e2</errorID>
      <errorWord>、以及</errorWord>
      <group>L1_Punc</group>
      <groupName>标点问题</groupName>
      <ability>L2_Punc</ability>
      <abilityName>标点符号检查</abilityName>
      <candidateList>
        <item>，以及</item>
      </candidateList>
      <explain>连接词前后不宜使用顿号，建议使用逗号。</explain>
      <paraID>4CF2B7FB</paraID>
      <start>34</start>
      <end>37</end>
      <status>modified</status>
      <modifiedWord>，以及</modifiedWord>
      <trackRevisions>false</trackRevisions>
    </reviewItem>
    <reviewItem>
      <errorID>5aff96f3-2a4f-4a52-96ca-59768ad1a803</errorID>
      <errorWord>一段时期</errorWord>
      <group>L1_Word</group>
      <groupName>字词问题</groupName>
      <ability>L2_Typo</ability>
      <abilityName>字词错误</abilityName>
      <candidateList>
        <item>一段时间</item>
      </candidateList>
      <explain/>
      <paraID>53A18A07</paraID>
      <start>110</start>
      <end>114</end>
      <status>ignored</status>
      <modifiedWord/>
      <trackRevisions>false</trackRevisions>
    </reviewItem>
    <reviewItem>
      <errorID>4ffcd63b-bbe6-40d5-8787-d83fe4c1443d</errorID>
      <errorWord>、以及</errorWord>
      <group>L1_Punc</group>
      <groupName>标点问题</groupName>
      <ability>L2_Punc</ability>
      <abilityName>标点符号检查</abilityName>
      <candidateList>
        <item>，以及</item>
      </candidateList>
      <explain>连接词前后不宜使用顿号，建议使用逗号。</explain>
      <paraID>756FC033</paraID>
      <start>39</start>
      <end>42</end>
      <status>modified</status>
      <modifiedWord>，以及</modifiedWord>
      <trackRevisions>false</trackRevisions>
    </reviewItem>
    <reviewItem>
      <errorID>95e56a83-29ad-4a5a-af39-5df5bdee2aec</errorID>
      <errorWord>高质量共建 “一带一路”</errorWord>
      <group>L1_Political</group>
      <groupName>政治性问题</groupName>
      <ability>L2_Keyword</ability>
      <abilityName>固定表述</abilityName>
      <candidateList>
        <item>高质量共建“一带一路”</item>
      </candidateList>
      <explain>词汇“高质量共建“一带一路””在特定场景下为固定表述形式，请确认此处的“高质量共建 “一带一路””是否存在不当。</explain>
      <paraID>6805F02D</paraID>
      <start>120</start>
      <end>132</end>
      <status>ignored</status>
      <modifiedWord/>
      <trackRevisions>false</trackRevisions>
    </reviewItem>
    <reviewItem>
      <errorID>2f4656ba-2468-4774-aceb-064c62ac166c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513B1424</paraID>
      <start>30</start>
      <end>32</end>
      <status>ignored</status>
      <modifiedWord/>
      <trackRevisions>false</trackRevisions>
    </reviewItem>
    <reviewItem>
      <errorID>ff129ff7-f041-44b5-8cbd-961448f98127</errorID>
      <errorWord>农业部</errorWord>
      <group>L1_Knowledge</group>
      <groupName>知识性问题</groupName>
      <ability>L2_Organization</ability>
      <abilityName>机构检查</abilityName>
      <candidateList>
        <item>农业农村部</item>
      </candidateList>
      <explain>机关单位全简称表述错误</explain>
      <paraID>2AA8742B</paraID>
      <start>20</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8b0b6-c869-4be2-82a5-34b5f0ddbd4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15571</Words>
  <Characters>16072</Characters>
  <Lines>1</Lines>
  <Paragraphs>1</Paragraphs>
  <TotalTime>150</TotalTime>
  <ScaleCrop>false</ScaleCrop>
  <LinksUpToDate>false</LinksUpToDate>
  <CharactersWithSpaces>16118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wowowo0080</cp:lastModifiedBy>
  <cp:lastPrinted>2026-07-02T03:11:00Z</cp:lastPrinted>
  <dcterms:modified xsi:type="dcterms:W3CDTF">2026-07-06T09:37:17Z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2AFE29251F2D47119EA111B2B617C6AF_13</vt:lpwstr>
  </property>
  <property fmtid="{D5CDD505-2E9C-101B-9397-08002B2CF9AE}" pid="4" name="KSOTemplateDocerSaveRecord">
    <vt:lpwstr>eyJoZGlkIjoiY2QwYzE4ODk1NjVlMzZkYjY3YjJhNDdmNzk5NjMwN2YiLCJ1c2VySWQiOiIyMTA0MDUyODgifQ==</vt:lpwstr>
  </property>
</Properties>
</file>