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23</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1</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9</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8</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18日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省贸促会举办巴西-江苏经贸合作座谈交流会</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“风光赋能 助企出海”主题沙龙在盐城建湖举行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7D029C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省贸促会领导出席第八届曼谷-上海经济会议</w:t>
      </w:r>
      <w:bookmarkStart w:id="12" w:name="_GoBack"/>
      <w:bookmarkEnd w:id="12"/>
      <w:r>
        <w:rPr>
          <w:rFonts w:hint="default" w:ascii="Times New Roman" w:hAnsi="Times New Roman" w:eastAsia="方正楷体_GBK" w:cs="Times New Roman"/>
          <w:b/>
          <w:color w:val="auto"/>
          <w:spacing w:val="0"/>
          <w:kern w:val="36"/>
          <w:sz w:val="30"/>
          <w:szCs w:val="30"/>
          <w:lang w:val="en-US" w:eastAsia="zh-CN"/>
        </w:rPr>
        <w:t xml:space="preserve">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r>
        <w:rPr>
          <w:rFonts w:hint="default" w:ascii="Times New Roman" w:hAnsi="Times New Roman" w:eastAsia="方正楷体_GBK" w:cs="Times New Roman"/>
          <w:b/>
          <w:color w:val="auto"/>
          <w:spacing w:val="-11"/>
          <w:kern w:val="36"/>
          <w:sz w:val="30"/>
          <w:szCs w:val="30"/>
          <w:lang w:val="en-US" w:eastAsia="zh-CN"/>
        </w:rPr>
        <w:t>0</w:t>
      </w:r>
      <w:bookmarkEnd w:id="1"/>
      <w:r>
        <w:rPr>
          <w:rFonts w:hint="eastAsia" w:ascii="Times New Roman" w:hAnsi="Times New Roman" w:eastAsia="方正楷体_GBK" w:cs="Times New Roman"/>
          <w:b/>
          <w:color w:val="auto"/>
          <w:spacing w:val="-11"/>
          <w:kern w:val="36"/>
          <w:sz w:val="30"/>
          <w:szCs w:val="30"/>
          <w:lang w:val="en-US" w:eastAsia="zh-CN"/>
        </w:rPr>
        <w:t>4</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远东电缆石墨烯材料技术赋能新能源转型</w:t>
      </w:r>
      <w:r>
        <w:rPr>
          <w:rFonts w:hint="eastAsia" w:ascii="Times New Roman" w:hAnsi="Times New Roman" w:eastAsia="方正楷体_GBK" w:cs="Times New Roman"/>
          <w:b/>
          <w:color w:val="auto"/>
          <w:spacing w:val="-6"/>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5</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协鑫集成获中国供应商ESG平台“五星杰出”评级</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6</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华瑞时尚入选全国百强第18名，江苏五十强第7名</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07</w:t>
      </w: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1E34B59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48"/>
          <w:szCs w:val="48"/>
          <w:lang w:val="en-US" w:eastAsia="zh-CN" w:bidi="ar-SA"/>
        </w:rPr>
        <w:t>省贸促会举办巴西-江苏经贸合作座谈交流会</w:t>
      </w:r>
    </w:p>
    <w:p w14:paraId="2B7720A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8月13日下午，江苏省贸促会举办巴西-江苏经贸合作座谈交流会。江苏省贸促会会长王善华和巴西地区一体化发展部部长瓦尔德斯·戈埃斯出席并致辞。江苏省贸促会副会长丛苏峰主持会议。</w:t>
      </w:r>
    </w:p>
    <w:p w14:paraId="66273BD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王善华简要介绍江苏开放型经济发展情况及江苏与巴西经贸合作情况。他表示，近年来两国元首多次会晤，就共建“一带一路”倡议同巴西发展战略对接达成重要共识。巴西是江苏在南美的重要合作伙伴，省贸促会将认真落实省委、省政府有关部署要求，加强与巴西经贸界联络，积极搭建合作平台，进一步促进双方贸易投资，深化制造业、农业等多领域交流，为助力构建中巴命运共同体作出贸促贡献。</w:t>
      </w:r>
    </w:p>
    <w:p w14:paraId="609D69D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戈埃斯简要介绍巴西经济发展等情况，期待与江苏进一步深化合作，拓展合作领域，助力中巴友好关系深入发展。</w:t>
      </w:r>
    </w:p>
    <w:p w14:paraId="72719E0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江苏省贸促会针对巴方合作需求，组织江苏克胜集团、江苏昆祥建设、开沃集团、迈安德集团、南京冠隆电力、悦达智能农装、瑞智中和、南京阿塞普等14家已开拓或意向开拓巴西市场的企业负责人参会。巴西代表团和江苏企业代表围绕新能源、农业机械、食品加工、电动重卡、外贸及物流等领域深入交流，现场互动频繁、气氛热烈。参会企业纷纷表示，巴西市场前景广阔、机遇无限，希望以本次活动为契机，与巴西有关部门、贸易投资促进机构和企业进一步加强对接，拓展贸易投资合作，实现互利共赢。</w:t>
      </w:r>
      <w:r>
        <w:rPr>
          <w:rFonts w:hint="eastAsia" w:ascii="Times New Roman" w:hAnsi="Times New Roman" w:cstheme="minorEastAsia"/>
          <w:color w:val="auto"/>
          <w:spacing w:val="-17"/>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488B780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2F78E3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C0AEC3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784B2D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25BF019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03EFD69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AE2E25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613564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5880FF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DF0A1F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D2E00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0708461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0B4BCB4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5ED54D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1A8A2C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1637B22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3BF65B9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12BC5E9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38418F0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5636EE7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4CF5E42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28"/>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28"/>
          <w:kern w:val="2"/>
          <w:position w:val="0"/>
          <w:sz w:val="48"/>
          <w:szCs w:val="48"/>
          <w:lang w:val="en-US" w:eastAsia="zh-CN" w:bidi="ar-SA"/>
        </w:rPr>
        <w:t>“风光赋能 助企出海”主题沙龙在盐城建湖举行</w:t>
      </w:r>
    </w:p>
    <w:p w14:paraId="09C098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8月7日，江苏省国际商会联合中国电子口岸数据中心南京分中心、盐城市国际商会、建湖县商务局在盐城建湖共同举办“风光赋能 助企出海”主题沙龙活动。江苏省贸促会（国际商会）副会长丛苏峰出席并致辞。江苏省国际商会双碳专业委员会企业代表和建湖县有关部门、进出口企业代表100余人参加活动。</w:t>
      </w:r>
    </w:p>
    <w:p w14:paraId="6F63CAA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丛苏峰在致辞中表示，江苏省国际商会是企业“走出去”的桥梁和平台，致力于推动会员企业在绿色低碳领域的国际合作与交流。未来将一如既往与各方深化合作，充分发挥国际化、专业化、特色化优势，助力企业积极应对绿色贸易壁垒，为推动实现“双碳”目标贡献更大力量。</w:t>
      </w:r>
    </w:p>
    <w:p w14:paraId="4573AC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中检集团、IEC国际标准促进中心（南京）、妙盈科技、中创碳投等业内专家围绕欧盟新电池法案、CBMA风险及应对策略、企业绿色低碳发展与产品碳足迹核算、供应链ESG管理等方面作主题分享，解读政策，剖析案例，并提供实操指导，助力企业精准把握政策导向。在互动交流环节，参会企业就绿色转型发展过程中遇到的有关问题与专家进行深入沟通，现场气氛热烈。</w:t>
      </w:r>
    </w:p>
    <w:p w14:paraId="7156A03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与会人员表示，本次活动内容贴合企业实际需求，专家讲解既有政策高度又有实践深度，有效解决了企业出海中面临的政策理解不清、风险应对无方等困惑，为企业在绿色低碳及合规出海的道路上提供了前瞻性指导与实践经验。</w:t>
      </w:r>
    </w:p>
    <w:p w14:paraId="74D77F5F">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0199302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28"/>
          <w:kern w:val="2"/>
          <w:position w:val="0"/>
          <w:sz w:val="48"/>
          <w:szCs w:val="48"/>
          <w:lang w:val="en-US" w:eastAsia="zh-CN" w:bidi="ar-SA"/>
        </w:rPr>
        <w:t>省贸促会领导出席第八届曼谷-上海经济会议</w:t>
      </w:r>
    </w:p>
    <w:p w14:paraId="05EA58B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7月31日下午，省贸促会副会长丛苏峰应邀参加在上海举行的第八届曼谷-上海经济会议并作交流发言。</w:t>
      </w:r>
    </w:p>
    <w:p w14:paraId="08290D3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本届会议的主题为“促进泰国与长三角地区先进制造业合作”，旨在推动泰国与长三角地区在人工智能与数字化、先进电子、生物医药等三大重点产业领域的对话与务实合作。丛苏峰在产业转型与合作环节中简要介绍江苏省贸促会与泰国历年来的贸易投资合作情况，提出进一步促进双方工商界往来、加强产业链供应链合作和共享江苏开放发展优势等合作建议，希望以此次会议为契机，进一步加强与泰方对口机构的交流合作，推动江苏与泰国开展更广领域更深层次的经贸合作，为全球产业链供应链安全稳定作出贡献。</w:t>
      </w:r>
    </w:p>
    <w:p w14:paraId="367C58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我省江苏恒瑞医药代表在会上作经验分享和项目路演。</w:t>
      </w:r>
    </w:p>
    <w:p w14:paraId="664242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（国际联络部）</w:t>
      </w:r>
    </w:p>
    <w:p w14:paraId="7BE7876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6BF72B4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4C01B1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5166C7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2" w:name="OLE_LINK7"/>
      <w:bookmarkStart w:id="3" w:name="OLE_LINK6"/>
      <w:bookmarkStart w:id="4" w:name="OLE_LINK14"/>
      <w:bookmarkStart w:id="5" w:name="OLE_LINK9"/>
      <w:bookmarkStart w:id="6" w:name="OLE_LINK5"/>
      <w:bookmarkStart w:id="7" w:name="OLE_LINK2"/>
      <w:bookmarkStart w:id="8" w:name="OLE_LINK8"/>
      <w:bookmarkStart w:id="9" w:name="OLE_LINK3"/>
    </w:p>
    <w:bookmarkEnd w:id="2"/>
    <w:bookmarkEnd w:id="3"/>
    <w:bookmarkEnd w:id="4"/>
    <w:bookmarkEnd w:id="5"/>
    <w:bookmarkEnd w:id="6"/>
    <w:bookmarkEnd w:id="7"/>
    <w:bookmarkEnd w:id="8"/>
    <w:bookmarkEnd w:id="9"/>
    <w:p w14:paraId="5F01DE1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0" w:name="OLE_LINK12"/>
      <w:r>
        <w:rPr>
          <w:rFonts w:hint="eastAsia" w:ascii="Times New Roman" w:hAnsi="Times New Roman" w:eastAsia="华文新魏" w:cs="Times New Roman"/>
          <w:b/>
          <w:bCs w:val="0"/>
          <w:color w:val="FF0000"/>
          <w:spacing w:val="-45"/>
          <w:kern w:val="36"/>
          <w:sz w:val="44"/>
          <w:szCs w:val="44"/>
          <w:lang w:val="en-US" w:eastAsia="zh-CN" w:bidi="ar-SA"/>
        </w:rPr>
        <w:t>远东电缆石墨烯材料技术赋能新能源转型</w:t>
      </w:r>
    </w:p>
    <w:p w14:paraId="0F1C55F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最新数据显示，石墨烯在新能源领域应用需求超70%，凭借超高导电性、极强导热性和惊人力学强度，成为颠覆能源存储与传输规则的“梦幻材料”。</w:t>
      </w:r>
    </w:p>
    <w:p w14:paraId="0855818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我会副会长单位——远东电缆有限公司早在三年前就启动了石墨烯-铜复合材料的专项攻关，目前已完成第三代产品的实验室验证。这一战略布局直指新能源行业三大痛点：充电效率、能量密度和材料寿命。通过将石墨烯的量子效应与铜的导电特性相结合，远东电缆开发的复合材料导电性能显著提升，散热效率也实现大幅优化，这些成果已通过国家有色金属及电子材料检测中心的权威认证。</w:t>
      </w:r>
    </w:p>
    <w:p w14:paraId="6C58809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在技术创新路径上，远东电缆选择了一条差异化赛道。不同于简单的物理混合工艺，研发团队创新性地采用化学气相沉积（CVD）法，在铜基底上实现石墨烯的原位生长。这种“分子级焊接”技术能够解决传统复合材料的界面阻抗问题，未来将使产品在5G基站、新能源车电控系统等高压场景下展现出色稳定性。据国际期刊《Advanced Materials》最新研究显示，类似结构的材料循环寿命可达传统铜材的3倍以上。</w:t>
      </w:r>
    </w:p>
    <w:bookmarkEnd w:id="10"/>
    <w:p w14:paraId="2D778BFC">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：远东电缆微信公众号）</w:t>
      </w:r>
    </w:p>
    <w:p w14:paraId="19AF801C">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8057A4E">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bookmarkStart w:id="11" w:name="OLE_LINK13"/>
    </w:p>
    <w:p w14:paraId="3BA9584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协鑫集成获中国供应商ESG平台“五星杰出”评级</w:t>
      </w:r>
    </w:p>
    <w:p w14:paraId="12B2E47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可持续发展绩效再获国内权威认可</w:t>
      </w:r>
    </w:p>
    <w:p w14:paraId="547AEA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中国供应商ESG评级平台发布了2025年最新评级结果。我会副会长单位——协鑫集成科技股份有限公司在大型企业中的ESG综合表现为五星半级，达到杰出水平。这一认可让公司在ESG可持续发展治理领域再获突破，彰显了公司在该领域的持续进步和行业领导地位。</w:t>
      </w:r>
    </w:p>
    <w:p w14:paraId="77C029A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协鑫集成自2023年制定“NEXT预见”可持续发展战略框架以来，2024年在“自然生态(Nature)”“平等包容(Equity)”“卓越创新(EXcellence)”“商业互信(Trust)”四大战略支柱基础上明确25项重要议题的承诺和战略目标，以目标为导向，推动可持续发展工作纵深发展。未来，协鑫集成将以“科技协鑫、数字协鑫、绿色协鑫”为战略指引，引领光伏行业绿色生态发展，为全球绿色能源转型贡献力量。</w:t>
      </w:r>
    </w:p>
    <w:bookmarkEnd w:id="11"/>
    <w:p w14:paraId="31DAFA7C">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：协鑫集成微信公众号）</w:t>
      </w:r>
    </w:p>
    <w:p w14:paraId="688812F2">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33464D7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D2B815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914C4C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3DBC14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EDF6F9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A5CD63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AD7B0B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p>
    <w:p w14:paraId="173A7506">
      <w:pPr>
        <w:keepNext w:val="0"/>
        <w:keepLines w:val="0"/>
        <w:pageBreakBefore w:val="0"/>
        <w:widowControl/>
        <w:kinsoku/>
        <w:wordWrap/>
        <w:overflowPunct/>
        <w:topLinePunct w:val="0"/>
        <w:autoSpaceDE/>
        <w:autoSpaceDN/>
        <w:bidi w:val="0"/>
        <w:adjustRightInd/>
        <w:snapToGrid/>
        <w:ind w:firstLine="668" w:firstLineChars="200"/>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华瑞时尚入选全国百强第18名，江苏五十强第7名</w:t>
      </w:r>
    </w:p>
    <w:p w14:paraId="0DFB1C2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中国服装协会正式发布“2024年中国服装行业百强企业”名单和“2024年江苏省服装行业五十强企业”名单。我会副会长单位——江苏华瑞时尚集团有限公司榜上有名，居中国服装行业“营业收入”百强企业第18位、江苏省服装行业“营业收入”五十强企业第7位，排名较去年均提升2位。</w:t>
      </w:r>
    </w:p>
    <w:p w14:paraId="394D3B8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华瑞将继续“坚持创新思维 运用科技手段 成就时尚梦想”，聚焦时尚产业发展，持续深化数转智改、绿色发展、业态创新等转型升级，加快发展新质生产力；同时围绕产业生态，通过实施“华瑞智汇产研生态社区”项目，助力地方打造高端智能制造产业集群，为区域经济的高质量发展贡献力量。</w:t>
      </w:r>
    </w:p>
    <w:p w14:paraId="4117DAA3">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：华瑞时尚微信公众号）</w:t>
      </w:r>
    </w:p>
    <w:p w14:paraId="3F5FED44">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60288;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2924</Words>
  <Characters>3204</Characters>
  <Lines>1</Lines>
  <Paragraphs>1</Paragraphs>
  <TotalTime>23</TotalTime>
  <ScaleCrop>false</ScaleCrop>
  <LinksUpToDate>false</LinksUpToDate>
  <CharactersWithSpaces>3293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2025-06-27T07:34:00Z</cp:lastPrinted>
  <dcterms:modified xsi:type="dcterms:W3CDTF">2025-08-17T11:32:20Z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